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5775E" w14:textId="08B8C758" w:rsidR="00D31401" w:rsidRPr="003668C9" w:rsidRDefault="00112896" w:rsidP="003668C9">
      <w:pPr>
        <w:pStyle w:val="Title"/>
        <w:jc w:val="center"/>
        <w:rPr>
          <w:sz w:val="32"/>
          <w:szCs w:val="32"/>
        </w:rPr>
      </w:pPr>
      <w:r w:rsidRPr="003668C9">
        <w:rPr>
          <w:sz w:val="32"/>
          <w:szCs w:val="32"/>
        </w:rPr>
        <w:t xml:space="preserve">MVC </w:t>
      </w:r>
      <w:r w:rsidR="003C4849" w:rsidRPr="003668C9">
        <w:rPr>
          <w:sz w:val="32"/>
          <w:szCs w:val="32"/>
        </w:rPr>
        <w:t>Report Metrics</w:t>
      </w:r>
    </w:p>
    <w:p w14:paraId="110495A4" w14:textId="649E216E" w:rsidR="00552794" w:rsidRPr="003668C9" w:rsidRDefault="00112896" w:rsidP="003668C9">
      <w:pPr>
        <w:pStyle w:val="Title"/>
        <w:jc w:val="center"/>
        <w:rPr>
          <w:sz w:val="32"/>
          <w:szCs w:val="32"/>
        </w:rPr>
      </w:pPr>
      <w:r w:rsidRPr="003668C9">
        <w:rPr>
          <w:sz w:val="32"/>
          <w:szCs w:val="32"/>
        </w:rPr>
        <w:t>Interpretation Guide</w:t>
      </w:r>
    </w:p>
    <w:p w14:paraId="2D7B3C81" w14:textId="6BCCF395" w:rsidR="00CD6B05" w:rsidRPr="00BA436D" w:rsidRDefault="00CD6B05" w:rsidP="005F2332">
      <w:pPr>
        <w:spacing w:after="0"/>
        <w:jc w:val="center"/>
        <w:rPr>
          <w:rFonts w:ascii="Open Sans" w:hAnsi="Open Sans" w:cs="Open Sans"/>
          <w:b/>
          <w:sz w:val="20"/>
          <w:szCs w:val="20"/>
        </w:rPr>
      </w:pPr>
    </w:p>
    <w:p w14:paraId="30A9895A" w14:textId="2031E5AD" w:rsidR="00CD6B05" w:rsidRPr="003668C9" w:rsidRDefault="00CD6B05" w:rsidP="00D804A6">
      <w:pPr>
        <w:spacing w:after="0"/>
        <w:rPr>
          <w:rFonts w:ascii="Open Sans" w:hAnsi="Open Sans" w:cs="Open Sans"/>
          <w:sz w:val="24"/>
          <w:szCs w:val="24"/>
        </w:rPr>
      </w:pPr>
      <w:r w:rsidRPr="003668C9">
        <w:rPr>
          <w:rFonts w:ascii="Open Sans" w:hAnsi="Open Sans" w:cs="Open Sans"/>
          <w:sz w:val="24"/>
          <w:szCs w:val="24"/>
        </w:rPr>
        <w:t>This document is intended to provide definitions for common MVC metrics and terminology. For information on how specific claim types are categorized and defined, please refer to the attached appendix. For additional detail related to MVC methodology, please refer to the MVC Data Guid</w:t>
      </w:r>
      <w:r w:rsidR="00DF6625" w:rsidRPr="003668C9">
        <w:rPr>
          <w:rFonts w:ascii="Open Sans" w:hAnsi="Open Sans" w:cs="Open Sans"/>
          <w:sz w:val="24"/>
          <w:szCs w:val="24"/>
        </w:rPr>
        <w:t xml:space="preserve">e available on the </w:t>
      </w:r>
      <w:hyperlink r:id="rId8" w:history="1">
        <w:r w:rsidR="0072009C" w:rsidRPr="003668C9">
          <w:rPr>
            <w:rStyle w:val="Hyperlink"/>
            <w:rFonts w:ascii="Open Sans" w:hAnsi="Open Sans" w:cs="Open Sans"/>
            <w:sz w:val="24"/>
            <w:szCs w:val="24"/>
          </w:rPr>
          <w:t>MVC website</w:t>
        </w:r>
      </w:hyperlink>
      <w:r w:rsidR="00DF6625" w:rsidRPr="003668C9">
        <w:rPr>
          <w:rFonts w:ascii="Open Sans" w:hAnsi="Open Sans" w:cs="Open Sans"/>
          <w:sz w:val="24"/>
          <w:szCs w:val="24"/>
        </w:rPr>
        <w:t xml:space="preserve">. </w:t>
      </w:r>
    </w:p>
    <w:p w14:paraId="77ED6A13" w14:textId="77777777" w:rsidR="005F2332" w:rsidRPr="003668C9" w:rsidRDefault="005F2332" w:rsidP="00D804A6">
      <w:pPr>
        <w:spacing w:after="0"/>
        <w:rPr>
          <w:rFonts w:ascii="Open Sans" w:hAnsi="Open Sans" w:cs="Open Sans"/>
          <w:b/>
          <w:sz w:val="24"/>
          <w:szCs w:val="24"/>
        </w:rPr>
      </w:pPr>
    </w:p>
    <w:p w14:paraId="6A0B4F44" w14:textId="286F1D19" w:rsidR="005F2332" w:rsidRPr="003668C9" w:rsidRDefault="005F2332" w:rsidP="003668C9">
      <w:pPr>
        <w:pStyle w:val="Heading2"/>
        <w:rPr>
          <w:color w:val="auto"/>
        </w:rPr>
      </w:pPr>
      <w:r w:rsidRPr="003668C9">
        <w:rPr>
          <w:color w:val="auto"/>
        </w:rPr>
        <w:t xml:space="preserve">30 or 90-day </w:t>
      </w:r>
      <w:r w:rsidR="00466B4D" w:rsidRPr="003668C9">
        <w:rPr>
          <w:color w:val="auto"/>
        </w:rPr>
        <w:t xml:space="preserve">Average </w:t>
      </w:r>
      <w:r w:rsidRPr="003668C9">
        <w:rPr>
          <w:color w:val="auto"/>
        </w:rPr>
        <w:t>Risk</w:t>
      </w:r>
      <w:r w:rsidR="007F3A6F" w:rsidRPr="003668C9">
        <w:rPr>
          <w:color w:val="auto"/>
        </w:rPr>
        <w:t>-</w:t>
      </w:r>
      <w:r w:rsidRPr="003668C9">
        <w:rPr>
          <w:color w:val="auto"/>
        </w:rPr>
        <w:t xml:space="preserve">Adjusted </w:t>
      </w:r>
      <w:r w:rsidR="00F45235" w:rsidRPr="003668C9">
        <w:rPr>
          <w:color w:val="auto"/>
        </w:rPr>
        <w:t xml:space="preserve">Price-Standardized Total </w:t>
      </w:r>
      <w:r w:rsidRPr="003668C9">
        <w:rPr>
          <w:color w:val="auto"/>
        </w:rPr>
        <w:t xml:space="preserve">Episode </w:t>
      </w:r>
      <w:r w:rsidR="00F45235" w:rsidRPr="003668C9">
        <w:rPr>
          <w:color w:val="auto"/>
        </w:rPr>
        <w:t>Payments</w:t>
      </w:r>
    </w:p>
    <w:p w14:paraId="6BB48937" w14:textId="46A3DFA7" w:rsidR="007F3A6F" w:rsidRPr="003668C9" w:rsidRDefault="007F3A6F" w:rsidP="00F11028">
      <w:pPr>
        <w:pStyle w:val="ListParagraph"/>
        <w:numPr>
          <w:ilvl w:val="0"/>
          <w:numId w:val="15"/>
        </w:numPr>
        <w:spacing w:after="0" w:line="240" w:lineRule="auto"/>
        <w:rPr>
          <w:rFonts w:ascii="Open Sans" w:hAnsi="Open Sans" w:cs="Open Sans"/>
          <w:sz w:val="24"/>
          <w:szCs w:val="24"/>
        </w:rPr>
      </w:pPr>
      <w:r w:rsidRPr="003668C9">
        <w:rPr>
          <w:rFonts w:ascii="Open Sans" w:hAnsi="Open Sans" w:cs="Open Sans"/>
          <w:sz w:val="24"/>
          <w:szCs w:val="24"/>
        </w:rPr>
        <w:t xml:space="preserve">Definition: Average price-standardized and risk-adjusted total episode </w:t>
      </w:r>
      <w:r w:rsidR="00F45235" w:rsidRPr="003668C9">
        <w:rPr>
          <w:rFonts w:ascii="Open Sans" w:hAnsi="Open Sans" w:cs="Open Sans"/>
          <w:sz w:val="24"/>
          <w:szCs w:val="24"/>
        </w:rPr>
        <w:t xml:space="preserve">payments – including services indicated on facility and professional medical claims – </w:t>
      </w:r>
      <w:r w:rsidRPr="003668C9">
        <w:rPr>
          <w:rFonts w:ascii="Open Sans" w:hAnsi="Open Sans" w:cs="Open Sans"/>
          <w:sz w:val="24"/>
          <w:szCs w:val="24"/>
        </w:rPr>
        <w:t>for</w:t>
      </w:r>
      <w:r w:rsidR="00F45235" w:rsidRPr="003668C9">
        <w:rPr>
          <w:rFonts w:ascii="Open Sans" w:hAnsi="Open Sans" w:cs="Open Sans"/>
          <w:sz w:val="24"/>
          <w:szCs w:val="24"/>
        </w:rPr>
        <w:t xml:space="preserve"> </w:t>
      </w:r>
      <w:r w:rsidRPr="003668C9">
        <w:rPr>
          <w:rFonts w:ascii="Open Sans" w:hAnsi="Open Sans" w:cs="Open Sans"/>
          <w:sz w:val="24"/>
          <w:szCs w:val="24"/>
        </w:rPr>
        <w:t>a given condition</w:t>
      </w:r>
      <w:r w:rsidR="00BF1719" w:rsidRPr="003668C9">
        <w:rPr>
          <w:rFonts w:ascii="Open Sans" w:hAnsi="Open Sans" w:cs="Open Sans"/>
          <w:sz w:val="24"/>
          <w:szCs w:val="24"/>
        </w:rPr>
        <w:t>, encompassing claims</w:t>
      </w:r>
      <w:r w:rsidRPr="003668C9">
        <w:rPr>
          <w:rFonts w:ascii="Open Sans" w:hAnsi="Open Sans" w:cs="Open Sans"/>
          <w:sz w:val="24"/>
          <w:szCs w:val="24"/>
        </w:rPr>
        <w:t xml:space="preserve"> </w:t>
      </w:r>
      <w:r w:rsidR="00135CBD" w:rsidRPr="003668C9">
        <w:rPr>
          <w:rFonts w:ascii="Open Sans" w:hAnsi="Open Sans" w:cs="Open Sans"/>
          <w:sz w:val="24"/>
          <w:szCs w:val="24"/>
        </w:rPr>
        <w:t xml:space="preserve">for the index event </w:t>
      </w:r>
      <w:r w:rsidRPr="003668C9">
        <w:rPr>
          <w:rFonts w:ascii="Open Sans" w:hAnsi="Open Sans" w:cs="Open Sans"/>
          <w:sz w:val="24"/>
          <w:szCs w:val="24"/>
        </w:rPr>
        <w:t>and 30 or 90</w:t>
      </w:r>
      <w:r w:rsidR="00357146" w:rsidRPr="003668C9">
        <w:rPr>
          <w:rFonts w:ascii="Open Sans" w:hAnsi="Open Sans" w:cs="Open Sans"/>
          <w:sz w:val="24"/>
          <w:szCs w:val="24"/>
        </w:rPr>
        <w:t>-</w:t>
      </w:r>
      <w:r w:rsidRPr="003668C9">
        <w:rPr>
          <w:rFonts w:ascii="Open Sans" w:hAnsi="Open Sans" w:cs="Open Sans"/>
          <w:sz w:val="24"/>
          <w:szCs w:val="24"/>
        </w:rPr>
        <w:t>days</w:t>
      </w:r>
      <w:r w:rsidR="00CD6B05" w:rsidRPr="003668C9">
        <w:rPr>
          <w:rFonts w:ascii="Open Sans" w:hAnsi="Open Sans" w:cs="Open Sans"/>
          <w:sz w:val="24"/>
          <w:szCs w:val="24"/>
        </w:rPr>
        <w:t xml:space="preserve"> </w:t>
      </w:r>
      <w:r w:rsidRPr="003668C9">
        <w:rPr>
          <w:rFonts w:ascii="Open Sans" w:hAnsi="Open Sans" w:cs="Open Sans"/>
          <w:sz w:val="24"/>
          <w:szCs w:val="24"/>
        </w:rPr>
        <w:t>post-</w:t>
      </w:r>
      <w:r w:rsidR="00BF1719" w:rsidRPr="003668C9">
        <w:rPr>
          <w:rFonts w:ascii="Open Sans" w:hAnsi="Open Sans" w:cs="Open Sans"/>
          <w:sz w:val="24"/>
          <w:szCs w:val="24"/>
        </w:rPr>
        <w:t xml:space="preserve">index </w:t>
      </w:r>
      <w:r w:rsidRPr="003668C9">
        <w:rPr>
          <w:rFonts w:ascii="Open Sans" w:hAnsi="Open Sans" w:cs="Open Sans"/>
          <w:sz w:val="24"/>
          <w:szCs w:val="24"/>
        </w:rPr>
        <w:t>discharge</w:t>
      </w:r>
      <w:r w:rsidR="00135CBD" w:rsidRPr="003668C9">
        <w:rPr>
          <w:rFonts w:ascii="Open Sans" w:hAnsi="Open Sans" w:cs="Open Sans"/>
          <w:sz w:val="24"/>
          <w:szCs w:val="24"/>
        </w:rPr>
        <w:t>.</w:t>
      </w:r>
    </w:p>
    <w:p w14:paraId="080104FC" w14:textId="77777777" w:rsidR="00866C88" w:rsidRPr="003668C9" w:rsidRDefault="00866C88" w:rsidP="00F11028">
      <w:pPr>
        <w:pStyle w:val="ListParagraph"/>
        <w:numPr>
          <w:ilvl w:val="0"/>
          <w:numId w:val="15"/>
        </w:numPr>
        <w:spacing w:after="0" w:line="240" w:lineRule="auto"/>
        <w:rPr>
          <w:rFonts w:ascii="Open Sans" w:hAnsi="Open Sans" w:cs="Open Sans"/>
          <w:sz w:val="24"/>
          <w:szCs w:val="24"/>
        </w:rPr>
      </w:pPr>
      <w:r w:rsidRPr="003668C9">
        <w:rPr>
          <w:rFonts w:ascii="Open Sans" w:hAnsi="Open Sans" w:cs="Open Sans"/>
          <w:sz w:val="24"/>
          <w:szCs w:val="24"/>
        </w:rPr>
        <w:t>Price Standardization</w:t>
      </w:r>
    </w:p>
    <w:p w14:paraId="2A28F0B8" w14:textId="01594BD5" w:rsidR="00AE2346" w:rsidRPr="003668C9" w:rsidRDefault="00AE2346" w:rsidP="00F11028">
      <w:pPr>
        <w:pStyle w:val="ListParagraph"/>
        <w:numPr>
          <w:ilvl w:val="1"/>
          <w:numId w:val="15"/>
        </w:numPr>
        <w:spacing w:after="0" w:line="240" w:lineRule="auto"/>
        <w:rPr>
          <w:rFonts w:ascii="Open Sans" w:hAnsi="Open Sans" w:cs="Open Sans"/>
          <w:sz w:val="24"/>
          <w:szCs w:val="24"/>
        </w:rPr>
      </w:pPr>
      <w:r w:rsidRPr="003668C9">
        <w:rPr>
          <w:rFonts w:ascii="Open Sans" w:hAnsi="Open Sans" w:cs="Open Sans"/>
          <w:color w:val="000000"/>
          <w:sz w:val="24"/>
          <w:szCs w:val="24"/>
        </w:rPr>
        <w:t xml:space="preserve">MVC </w:t>
      </w:r>
      <w:r w:rsidR="0014197F" w:rsidRPr="003668C9">
        <w:rPr>
          <w:rFonts w:ascii="Open Sans" w:hAnsi="Open Sans" w:cs="Open Sans"/>
          <w:color w:val="000000"/>
          <w:sz w:val="24"/>
          <w:szCs w:val="24"/>
        </w:rPr>
        <w:t xml:space="preserve">payment </w:t>
      </w:r>
      <w:r w:rsidRPr="003668C9">
        <w:rPr>
          <w:rFonts w:ascii="Open Sans" w:hAnsi="Open Sans" w:cs="Open Sans"/>
          <w:color w:val="000000"/>
          <w:sz w:val="24"/>
          <w:szCs w:val="24"/>
        </w:rPr>
        <w:t xml:space="preserve">data </w:t>
      </w:r>
      <w:r w:rsidR="0014197F" w:rsidRPr="003668C9">
        <w:rPr>
          <w:rFonts w:ascii="Open Sans" w:hAnsi="Open Sans" w:cs="Open Sans"/>
          <w:color w:val="000000"/>
          <w:sz w:val="24"/>
          <w:szCs w:val="24"/>
        </w:rPr>
        <w:t xml:space="preserve">are </w:t>
      </w:r>
      <w:r w:rsidRPr="003668C9">
        <w:rPr>
          <w:rFonts w:ascii="Open Sans" w:hAnsi="Open Sans" w:cs="Open Sans"/>
          <w:color w:val="000000"/>
          <w:sz w:val="24"/>
          <w:szCs w:val="24"/>
        </w:rPr>
        <w:t>price-standardized to Medicare</w:t>
      </w:r>
      <w:r w:rsidR="00135CBD" w:rsidRPr="003668C9">
        <w:rPr>
          <w:rFonts w:ascii="Open Sans" w:hAnsi="Open Sans" w:cs="Open Sans"/>
          <w:color w:val="000000"/>
          <w:sz w:val="24"/>
          <w:szCs w:val="24"/>
        </w:rPr>
        <w:t xml:space="preserve"> FFS</w:t>
      </w:r>
      <w:r w:rsidRPr="003668C9">
        <w:rPr>
          <w:rFonts w:ascii="Open Sans" w:hAnsi="Open Sans" w:cs="Open Sans"/>
          <w:color w:val="000000"/>
          <w:sz w:val="24"/>
          <w:szCs w:val="24"/>
        </w:rPr>
        <w:t xml:space="preserve"> </w:t>
      </w:r>
      <w:r w:rsidR="00135CBD" w:rsidRPr="003668C9">
        <w:rPr>
          <w:rFonts w:ascii="Open Sans" w:hAnsi="Open Sans" w:cs="Open Sans"/>
          <w:color w:val="000000"/>
          <w:sz w:val="24"/>
          <w:szCs w:val="24"/>
        </w:rPr>
        <w:t>paid amounts</w:t>
      </w:r>
      <w:r w:rsidRPr="003668C9">
        <w:rPr>
          <w:rFonts w:ascii="Open Sans" w:hAnsi="Open Sans" w:cs="Open Sans"/>
          <w:color w:val="000000"/>
          <w:sz w:val="24"/>
          <w:szCs w:val="24"/>
        </w:rPr>
        <w:t>. This</w:t>
      </w:r>
      <w:r w:rsidR="00E46BFD" w:rsidRPr="003668C9">
        <w:rPr>
          <w:rFonts w:ascii="Open Sans" w:hAnsi="Open Sans" w:cs="Open Sans"/>
          <w:color w:val="000000"/>
          <w:sz w:val="24"/>
          <w:szCs w:val="24"/>
        </w:rPr>
        <w:t xml:space="preserve"> </w:t>
      </w:r>
      <w:r w:rsidRPr="003668C9">
        <w:rPr>
          <w:rFonts w:ascii="Open Sans" w:hAnsi="Open Sans" w:cs="Open Sans"/>
          <w:color w:val="000000"/>
          <w:sz w:val="24"/>
          <w:szCs w:val="24"/>
        </w:rPr>
        <w:t>remove</w:t>
      </w:r>
      <w:r w:rsidR="00E46BFD" w:rsidRPr="003668C9">
        <w:rPr>
          <w:rFonts w:ascii="Open Sans" w:hAnsi="Open Sans" w:cs="Open Sans"/>
          <w:color w:val="000000"/>
          <w:sz w:val="24"/>
          <w:szCs w:val="24"/>
        </w:rPr>
        <w:t>s</w:t>
      </w:r>
      <w:r w:rsidRPr="003668C9">
        <w:rPr>
          <w:rFonts w:ascii="Open Sans" w:hAnsi="Open Sans" w:cs="Open Sans"/>
          <w:color w:val="000000"/>
          <w:sz w:val="24"/>
          <w:szCs w:val="24"/>
        </w:rPr>
        <w:t xml:space="preserve"> </w:t>
      </w:r>
      <w:r w:rsidR="00135CBD" w:rsidRPr="003668C9">
        <w:rPr>
          <w:rFonts w:ascii="Open Sans" w:hAnsi="Open Sans" w:cs="Open Sans"/>
          <w:color w:val="000000"/>
          <w:sz w:val="24"/>
          <w:szCs w:val="24"/>
        </w:rPr>
        <w:t>variation</w:t>
      </w:r>
      <w:r w:rsidR="007F3A6F" w:rsidRPr="003668C9">
        <w:rPr>
          <w:rFonts w:ascii="Open Sans" w:hAnsi="Open Sans" w:cs="Open Sans"/>
          <w:color w:val="000000"/>
          <w:sz w:val="24"/>
          <w:szCs w:val="24"/>
        </w:rPr>
        <w:t xml:space="preserve"> due to contractual </w:t>
      </w:r>
      <w:r w:rsidR="00135CBD" w:rsidRPr="003668C9">
        <w:rPr>
          <w:rFonts w:ascii="Open Sans" w:hAnsi="Open Sans" w:cs="Open Sans"/>
          <w:color w:val="000000"/>
          <w:sz w:val="24"/>
          <w:szCs w:val="24"/>
        </w:rPr>
        <w:t>agreements</w:t>
      </w:r>
      <w:r w:rsidR="007F3A6F" w:rsidRPr="003668C9">
        <w:rPr>
          <w:rFonts w:ascii="Open Sans" w:hAnsi="Open Sans" w:cs="Open Sans"/>
          <w:color w:val="000000"/>
          <w:sz w:val="24"/>
          <w:szCs w:val="24"/>
        </w:rPr>
        <w:t xml:space="preserve">, geographical location, </w:t>
      </w:r>
      <w:r w:rsidR="00135CBD" w:rsidRPr="003668C9">
        <w:rPr>
          <w:rFonts w:ascii="Open Sans" w:hAnsi="Open Sans" w:cs="Open Sans"/>
          <w:color w:val="000000"/>
          <w:sz w:val="24"/>
          <w:szCs w:val="24"/>
        </w:rPr>
        <w:t>wage index, or inflation</w:t>
      </w:r>
      <w:r w:rsidR="007F3A6F" w:rsidRPr="003668C9">
        <w:rPr>
          <w:rFonts w:ascii="Open Sans" w:hAnsi="Open Sans" w:cs="Open Sans"/>
          <w:color w:val="000000"/>
          <w:sz w:val="24"/>
          <w:szCs w:val="24"/>
        </w:rPr>
        <w:t xml:space="preserve">. </w:t>
      </w:r>
      <w:r w:rsidR="00DE5EA6" w:rsidRPr="003668C9">
        <w:rPr>
          <w:rFonts w:ascii="Open Sans" w:hAnsi="Open Sans" w:cs="Open Sans"/>
          <w:color w:val="000000"/>
          <w:sz w:val="24"/>
          <w:szCs w:val="24"/>
        </w:rPr>
        <w:t>It also</w:t>
      </w:r>
      <w:r w:rsidR="00135CBD" w:rsidRPr="003668C9">
        <w:rPr>
          <w:rFonts w:ascii="Open Sans" w:hAnsi="Open Sans" w:cs="Open Sans"/>
          <w:color w:val="000000"/>
          <w:sz w:val="24"/>
          <w:szCs w:val="24"/>
        </w:rPr>
        <w:t xml:space="preserve"> allows for equitable comparisons of healthcare utilization between all MVC member hospitals. </w:t>
      </w:r>
    </w:p>
    <w:p w14:paraId="7FA78D05" w14:textId="77777777" w:rsidR="00866C88" w:rsidRPr="003668C9" w:rsidRDefault="00866C88" w:rsidP="00F11028">
      <w:pPr>
        <w:pStyle w:val="ListParagraph"/>
        <w:numPr>
          <w:ilvl w:val="0"/>
          <w:numId w:val="15"/>
        </w:numPr>
        <w:spacing w:after="0" w:line="240" w:lineRule="auto"/>
        <w:rPr>
          <w:rFonts w:ascii="Open Sans" w:hAnsi="Open Sans" w:cs="Open Sans"/>
          <w:sz w:val="24"/>
          <w:szCs w:val="24"/>
        </w:rPr>
      </w:pPr>
      <w:r w:rsidRPr="003668C9">
        <w:rPr>
          <w:rFonts w:ascii="Open Sans" w:hAnsi="Open Sans" w:cs="Open Sans"/>
          <w:sz w:val="24"/>
          <w:szCs w:val="24"/>
        </w:rPr>
        <w:t>Risk Adjustment</w:t>
      </w:r>
    </w:p>
    <w:p w14:paraId="59D9F246" w14:textId="0A632B76" w:rsidR="00AE2346" w:rsidRPr="003668C9" w:rsidRDefault="00AE2346" w:rsidP="00F11028">
      <w:pPr>
        <w:pStyle w:val="ListParagraph"/>
        <w:numPr>
          <w:ilvl w:val="1"/>
          <w:numId w:val="15"/>
        </w:numPr>
        <w:spacing w:after="0" w:line="240" w:lineRule="auto"/>
        <w:rPr>
          <w:rFonts w:ascii="Open Sans" w:eastAsia="Times New Roman" w:hAnsi="Open Sans" w:cs="Open Sans"/>
          <w:sz w:val="24"/>
          <w:szCs w:val="24"/>
        </w:rPr>
      </w:pPr>
      <w:r w:rsidRPr="003668C9">
        <w:rPr>
          <w:rFonts w:ascii="Open Sans" w:eastAsia="Times New Roman" w:hAnsi="Open Sans" w:cs="Open Sans"/>
          <w:color w:val="000000"/>
          <w:sz w:val="24"/>
          <w:szCs w:val="24"/>
        </w:rPr>
        <w:t xml:space="preserve">MVC data is risk-adjusted </w:t>
      </w:r>
      <w:r w:rsidR="00E46BFD" w:rsidRPr="003668C9">
        <w:rPr>
          <w:rFonts w:ascii="Open Sans" w:eastAsia="Times New Roman" w:hAnsi="Open Sans" w:cs="Open Sans"/>
          <w:color w:val="000000"/>
          <w:sz w:val="24"/>
          <w:szCs w:val="24"/>
        </w:rPr>
        <w:t>to</w:t>
      </w:r>
      <w:r w:rsidR="00135CBD" w:rsidRPr="003668C9">
        <w:rPr>
          <w:rFonts w:ascii="Open Sans" w:eastAsia="Times New Roman" w:hAnsi="Open Sans" w:cs="Open Sans"/>
          <w:color w:val="000000"/>
          <w:sz w:val="24"/>
          <w:szCs w:val="24"/>
        </w:rPr>
        <w:t xml:space="preserve"> account for differences in patient characteristics between hospitals. </w:t>
      </w:r>
    </w:p>
    <w:p w14:paraId="19305235" w14:textId="77777777" w:rsidR="00AE2346" w:rsidRPr="003668C9" w:rsidRDefault="00AE2346" w:rsidP="00F11028">
      <w:pPr>
        <w:pStyle w:val="ListParagraph"/>
        <w:numPr>
          <w:ilvl w:val="1"/>
          <w:numId w:val="15"/>
        </w:numPr>
        <w:spacing w:after="0" w:line="240" w:lineRule="auto"/>
        <w:rPr>
          <w:rFonts w:ascii="Open Sans" w:eastAsia="Times New Roman" w:hAnsi="Open Sans" w:cs="Open Sans"/>
          <w:sz w:val="24"/>
          <w:szCs w:val="24"/>
        </w:rPr>
      </w:pPr>
      <w:r w:rsidRPr="003668C9">
        <w:rPr>
          <w:rFonts w:ascii="Open Sans" w:eastAsia="Times New Roman" w:hAnsi="Open Sans" w:cs="Open Sans"/>
          <w:sz w:val="24"/>
          <w:szCs w:val="24"/>
        </w:rPr>
        <w:t xml:space="preserve">MVC </w:t>
      </w:r>
      <w:r w:rsidRPr="003668C9">
        <w:rPr>
          <w:rFonts w:ascii="Open Sans" w:eastAsia="Times New Roman" w:hAnsi="Open Sans" w:cs="Open Sans"/>
          <w:color w:val="000000"/>
          <w:sz w:val="24"/>
          <w:szCs w:val="24"/>
        </w:rPr>
        <w:t>data is risk adjusted for the following patient factors:</w:t>
      </w:r>
    </w:p>
    <w:p w14:paraId="6DCE6882" w14:textId="77777777" w:rsidR="00AE2346" w:rsidRPr="003668C9" w:rsidRDefault="00AE2346" w:rsidP="00F11028">
      <w:pPr>
        <w:pStyle w:val="ListParagraph"/>
        <w:numPr>
          <w:ilvl w:val="2"/>
          <w:numId w:val="15"/>
        </w:numPr>
        <w:spacing w:after="0" w:line="240" w:lineRule="auto"/>
        <w:rPr>
          <w:rFonts w:ascii="Open Sans" w:eastAsia="Times New Roman" w:hAnsi="Open Sans" w:cs="Open Sans"/>
          <w:sz w:val="24"/>
          <w:szCs w:val="24"/>
        </w:rPr>
      </w:pPr>
      <w:r w:rsidRPr="003668C9">
        <w:rPr>
          <w:rFonts w:ascii="Open Sans" w:eastAsia="Times New Roman" w:hAnsi="Open Sans" w:cs="Open Sans"/>
          <w:color w:val="000000"/>
          <w:sz w:val="24"/>
          <w:szCs w:val="24"/>
        </w:rPr>
        <w:t>Patient Age</w:t>
      </w:r>
    </w:p>
    <w:p w14:paraId="228C3857" w14:textId="77777777" w:rsidR="00AE2346" w:rsidRPr="003668C9" w:rsidRDefault="00AE2346" w:rsidP="00F11028">
      <w:pPr>
        <w:pStyle w:val="ListParagraph"/>
        <w:numPr>
          <w:ilvl w:val="2"/>
          <w:numId w:val="15"/>
        </w:numPr>
        <w:spacing w:after="0" w:line="240" w:lineRule="auto"/>
        <w:rPr>
          <w:rFonts w:ascii="Open Sans" w:eastAsia="Times New Roman" w:hAnsi="Open Sans" w:cs="Open Sans"/>
          <w:sz w:val="24"/>
          <w:szCs w:val="24"/>
        </w:rPr>
      </w:pPr>
      <w:r w:rsidRPr="003668C9">
        <w:rPr>
          <w:rFonts w:ascii="Open Sans" w:eastAsia="Times New Roman" w:hAnsi="Open Sans" w:cs="Open Sans"/>
          <w:color w:val="000000"/>
          <w:sz w:val="24"/>
          <w:szCs w:val="24"/>
        </w:rPr>
        <w:t>Patient Gender</w:t>
      </w:r>
    </w:p>
    <w:p w14:paraId="785A37D8" w14:textId="77777777" w:rsidR="00AE2346" w:rsidRPr="003668C9" w:rsidRDefault="00AE2346" w:rsidP="00F11028">
      <w:pPr>
        <w:pStyle w:val="ListParagraph"/>
        <w:numPr>
          <w:ilvl w:val="2"/>
          <w:numId w:val="15"/>
        </w:numPr>
        <w:spacing w:after="0" w:line="240" w:lineRule="auto"/>
        <w:rPr>
          <w:rFonts w:ascii="Open Sans" w:eastAsia="Times New Roman" w:hAnsi="Open Sans" w:cs="Open Sans"/>
          <w:sz w:val="24"/>
          <w:szCs w:val="24"/>
        </w:rPr>
      </w:pPr>
      <w:r w:rsidRPr="003668C9">
        <w:rPr>
          <w:rFonts w:ascii="Open Sans" w:eastAsia="Times New Roman" w:hAnsi="Open Sans" w:cs="Open Sans"/>
          <w:color w:val="000000"/>
          <w:sz w:val="24"/>
          <w:szCs w:val="24"/>
        </w:rPr>
        <w:t>Payer</w:t>
      </w:r>
    </w:p>
    <w:p w14:paraId="381D5C4B" w14:textId="38310EE7" w:rsidR="00AE2346" w:rsidRPr="003668C9" w:rsidRDefault="00DE5EA6" w:rsidP="00F11028">
      <w:pPr>
        <w:pStyle w:val="ListParagraph"/>
        <w:numPr>
          <w:ilvl w:val="2"/>
          <w:numId w:val="15"/>
        </w:numPr>
        <w:spacing w:after="0" w:line="240" w:lineRule="auto"/>
        <w:rPr>
          <w:rFonts w:ascii="Open Sans" w:eastAsia="Times New Roman" w:hAnsi="Open Sans" w:cs="Open Sans"/>
          <w:sz w:val="24"/>
          <w:szCs w:val="24"/>
        </w:rPr>
      </w:pPr>
      <w:r w:rsidRPr="003668C9">
        <w:rPr>
          <w:rFonts w:ascii="Open Sans" w:eastAsia="Times New Roman" w:hAnsi="Open Sans" w:cs="Open Sans"/>
          <w:color w:val="000000"/>
          <w:sz w:val="24"/>
          <w:szCs w:val="24"/>
        </w:rPr>
        <w:t>Prior six</w:t>
      </w:r>
      <w:r w:rsidR="00AE2346" w:rsidRPr="003668C9">
        <w:rPr>
          <w:rFonts w:ascii="Open Sans" w:eastAsia="Times New Roman" w:hAnsi="Open Sans" w:cs="Open Sans"/>
          <w:color w:val="000000"/>
          <w:sz w:val="24"/>
          <w:szCs w:val="24"/>
        </w:rPr>
        <w:t>-month spending</w:t>
      </w:r>
    </w:p>
    <w:p w14:paraId="6192ED2F" w14:textId="1F77F341" w:rsidR="00A90A5E" w:rsidRPr="003668C9" w:rsidRDefault="00AE2346" w:rsidP="00F11028">
      <w:pPr>
        <w:pStyle w:val="ListParagraph"/>
        <w:numPr>
          <w:ilvl w:val="2"/>
          <w:numId w:val="15"/>
        </w:numPr>
        <w:spacing w:after="0" w:line="240" w:lineRule="auto"/>
        <w:rPr>
          <w:rFonts w:ascii="Open Sans" w:eastAsia="Times New Roman" w:hAnsi="Open Sans" w:cs="Open Sans"/>
          <w:sz w:val="24"/>
          <w:szCs w:val="24"/>
        </w:rPr>
      </w:pPr>
      <w:r w:rsidRPr="003668C9">
        <w:rPr>
          <w:rFonts w:ascii="Open Sans" w:eastAsia="Times New Roman" w:hAnsi="Open Sans" w:cs="Open Sans"/>
          <w:color w:val="000000"/>
          <w:sz w:val="24"/>
          <w:szCs w:val="24"/>
        </w:rPr>
        <w:t>79 HCCs (Hierarchical Condition Categories)</w:t>
      </w:r>
    </w:p>
    <w:p w14:paraId="41624872" w14:textId="11191869" w:rsidR="00A90A5E" w:rsidRPr="003668C9" w:rsidRDefault="00A90A5E" w:rsidP="00F11028">
      <w:pPr>
        <w:pStyle w:val="ListParagraph"/>
        <w:numPr>
          <w:ilvl w:val="1"/>
          <w:numId w:val="15"/>
        </w:numPr>
        <w:spacing w:after="0" w:line="240" w:lineRule="auto"/>
        <w:rPr>
          <w:rFonts w:ascii="Open Sans" w:hAnsi="Open Sans" w:cs="Open Sans"/>
          <w:sz w:val="24"/>
          <w:szCs w:val="24"/>
        </w:rPr>
      </w:pPr>
      <w:r w:rsidRPr="003668C9">
        <w:rPr>
          <w:rFonts w:ascii="Open Sans" w:hAnsi="Open Sans" w:cs="Open Sans"/>
          <w:sz w:val="24"/>
          <w:szCs w:val="24"/>
        </w:rPr>
        <w:t xml:space="preserve">HCC Categories </w:t>
      </w:r>
    </w:p>
    <w:p w14:paraId="7282270F" w14:textId="6101C1C9" w:rsidR="00A90A5E" w:rsidRPr="003668C9" w:rsidRDefault="00A90A5E" w:rsidP="00F11028">
      <w:pPr>
        <w:pStyle w:val="ListParagraph"/>
        <w:numPr>
          <w:ilvl w:val="2"/>
          <w:numId w:val="15"/>
        </w:numPr>
        <w:spacing w:after="0" w:line="240" w:lineRule="auto"/>
        <w:rPr>
          <w:rFonts w:ascii="Open Sans" w:hAnsi="Open Sans" w:cs="Open Sans"/>
          <w:sz w:val="24"/>
          <w:szCs w:val="24"/>
        </w:rPr>
      </w:pPr>
      <w:r w:rsidRPr="003668C9">
        <w:rPr>
          <w:rFonts w:ascii="Open Sans" w:eastAsia="Times New Roman" w:hAnsi="Open Sans" w:cs="Open Sans"/>
          <w:color w:val="000000"/>
          <w:sz w:val="24"/>
          <w:szCs w:val="24"/>
        </w:rPr>
        <w:t xml:space="preserve">A </w:t>
      </w:r>
      <w:r w:rsidR="0072009C" w:rsidRPr="003668C9">
        <w:rPr>
          <w:rFonts w:ascii="Open Sans" w:eastAsia="Times New Roman" w:hAnsi="Open Sans" w:cs="Open Sans"/>
          <w:color w:val="000000"/>
          <w:sz w:val="24"/>
          <w:szCs w:val="24"/>
        </w:rPr>
        <w:t xml:space="preserve">CMS-based </w:t>
      </w:r>
      <w:r w:rsidRPr="003668C9">
        <w:rPr>
          <w:rFonts w:ascii="Open Sans" w:eastAsia="Times New Roman" w:hAnsi="Open Sans" w:cs="Open Sans"/>
          <w:color w:val="000000"/>
          <w:sz w:val="24"/>
          <w:szCs w:val="24"/>
        </w:rPr>
        <w:t xml:space="preserve">method for </w:t>
      </w:r>
      <w:r w:rsidR="0072009C" w:rsidRPr="003668C9">
        <w:rPr>
          <w:rFonts w:ascii="Open Sans" w:eastAsia="Times New Roman" w:hAnsi="Open Sans" w:cs="Open Sans"/>
          <w:color w:val="000000"/>
          <w:sz w:val="24"/>
          <w:szCs w:val="24"/>
        </w:rPr>
        <w:t>risk-adjusting</w:t>
      </w:r>
      <w:r w:rsidRPr="003668C9">
        <w:rPr>
          <w:rFonts w:ascii="Open Sans" w:eastAsia="Times New Roman" w:hAnsi="Open Sans" w:cs="Open Sans"/>
          <w:color w:val="000000"/>
          <w:sz w:val="24"/>
          <w:szCs w:val="24"/>
        </w:rPr>
        <w:t xml:space="preserve"> using </w:t>
      </w:r>
      <w:r w:rsidR="00BF1719" w:rsidRPr="003668C9">
        <w:rPr>
          <w:rFonts w:ascii="Open Sans" w:eastAsia="Times New Roman" w:hAnsi="Open Sans" w:cs="Open Sans"/>
          <w:color w:val="000000"/>
          <w:sz w:val="24"/>
          <w:szCs w:val="24"/>
        </w:rPr>
        <w:t xml:space="preserve">patient </w:t>
      </w:r>
      <w:r w:rsidRPr="003668C9">
        <w:rPr>
          <w:rFonts w:ascii="Open Sans" w:eastAsia="Times New Roman" w:hAnsi="Open Sans" w:cs="Open Sans"/>
          <w:color w:val="000000"/>
          <w:sz w:val="24"/>
          <w:szCs w:val="24"/>
        </w:rPr>
        <w:t xml:space="preserve">comorbidities as assessed </w:t>
      </w:r>
      <w:r w:rsidR="0072009C" w:rsidRPr="003668C9">
        <w:rPr>
          <w:rFonts w:ascii="Open Sans" w:eastAsia="Times New Roman" w:hAnsi="Open Sans" w:cs="Open Sans"/>
          <w:color w:val="000000"/>
          <w:sz w:val="24"/>
          <w:szCs w:val="24"/>
        </w:rPr>
        <w:t xml:space="preserve">by diagnosis codes on </w:t>
      </w:r>
      <w:r w:rsidRPr="003668C9">
        <w:rPr>
          <w:rFonts w:ascii="Open Sans" w:eastAsia="Times New Roman" w:hAnsi="Open Sans" w:cs="Open Sans"/>
          <w:color w:val="000000"/>
          <w:sz w:val="24"/>
          <w:szCs w:val="24"/>
        </w:rPr>
        <w:t xml:space="preserve">claims data </w:t>
      </w:r>
      <w:r w:rsidR="0072009C" w:rsidRPr="003668C9">
        <w:rPr>
          <w:rFonts w:ascii="Open Sans" w:eastAsia="Times New Roman" w:hAnsi="Open Sans" w:cs="Open Sans"/>
          <w:color w:val="000000"/>
          <w:sz w:val="24"/>
          <w:szCs w:val="24"/>
        </w:rPr>
        <w:t>which are then organized into</w:t>
      </w:r>
      <w:r w:rsidRPr="003668C9">
        <w:rPr>
          <w:rFonts w:ascii="Open Sans" w:eastAsia="Times New Roman" w:hAnsi="Open Sans" w:cs="Open Sans"/>
          <w:color w:val="000000"/>
          <w:sz w:val="24"/>
          <w:szCs w:val="24"/>
        </w:rPr>
        <w:t xml:space="preserve"> Hierarchical Condition Categories (HCCs). </w:t>
      </w:r>
    </w:p>
    <w:p w14:paraId="580D004E" w14:textId="1986F3A2" w:rsidR="0014197F" w:rsidRPr="003668C9" w:rsidRDefault="0014197F" w:rsidP="00F11028">
      <w:pPr>
        <w:pStyle w:val="ListParagraph"/>
        <w:numPr>
          <w:ilvl w:val="2"/>
          <w:numId w:val="15"/>
        </w:numPr>
        <w:spacing w:after="0" w:line="240" w:lineRule="auto"/>
        <w:rPr>
          <w:rFonts w:ascii="Open Sans" w:hAnsi="Open Sans" w:cs="Open Sans"/>
          <w:sz w:val="24"/>
          <w:szCs w:val="24"/>
        </w:rPr>
      </w:pPr>
      <w:r w:rsidRPr="003668C9">
        <w:rPr>
          <w:rFonts w:ascii="Open Sans" w:eastAsia="Times New Roman" w:hAnsi="Open Sans" w:cs="Open Sans"/>
          <w:color w:val="000000"/>
          <w:sz w:val="24"/>
          <w:szCs w:val="24"/>
        </w:rPr>
        <w:lastRenderedPageBreak/>
        <w:t>MVC assesses HCCs for a given patient/episode using diagnosis codes on claims for the 6 months prior to each corresponding index event</w:t>
      </w:r>
      <w:r w:rsidR="00E46BFD" w:rsidRPr="003668C9">
        <w:rPr>
          <w:rFonts w:ascii="Open Sans" w:eastAsia="Times New Roman" w:hAnsi="Open Sans" w:cs="Open Sans"/>
          <w:color w:val="000000"/>
          <w:sz w:val="24"/>
          <w:szCs w:val="24"/>
        </w:rPr>
        <w:t>.</w:t>
      </w:r>
    </w:p>
    <w:p w14:paraId="5BE6D410" w14:textId="5225B31A" w:rsidR="00A90A5E" w:rsidRPr="003668C9" w:rsidRDefault="00E46BFD" w:rsidP="00F11028">
      <w:pPr>
        <w:pStyle w:val="ListParagraph"/>
        <w:numPr>
          <w:ilvl w:val="2"/>
          <w:numId w:val="15"/>
        </w:numPr>
        <w:spacing w:after="0" w:line="240" w:lineRule="auto"/>
        <w:rPr>
          <w:rFonts w:ascii="Open Sans" w:hAnsi="Open Sans" w:cs="Open Sans"/>
          <w:sz w:val="24"/>
          <w:szCs w:val="24"/>
        </w:rPr>
      </w:pPr>
      <w:r w:rsidRPr="003668C9">
        <w:rPr>
          <w:rFonts w:ascii="Open Sans" w:eastAsia="Times New Roman" w:hAnsi="Open Sans" w:cs="Open Sans"/>
          <w:color w:val="000000"/>
          <w:sz w:val="24"/>
          <w:szCs w:val="24"/>
        </w:rPr>
        <w:t xml:space="preserve">Examples of </w:t>
      </w:r>
      <w:r w:rsidR="00357146" w:rsidRPr="003668C9">
        <w:rPr>
          <w:rFonts w:ascii="Open Sans" w:eastAsia="Times New Roman" w:hAnsi="Open Sans" w:cs="Open Sans"/>
          <w:color w:val="000000"/>
          <w:sz w:val="24"/>
          <w:szCs w:val="24"/>
        </w:rPr>
        <w:t>HCC Categories include</w:t>
      </w:r>
      <w:r w:rsidR="00A90A5E" w:rsidRPr="003668C9">
        <w:rPr>
          <w:rFonts w:ascii="Open Sans" w:eastAsia="Times New Roman" w:hAnsi="Open Sans" w:cs="Open Sans"/>
          <w:color w:val="000000"/>
          <w:sz w:val="24"/>
          <w:szCs w:val="24"/>
        </w:rPr>
        <w:t xml:space="preserve"> </w:t>
      </w:r>
      <w:r w:rsidR="00A90A5E" w:rsidRPr="003668C9">
        <w:rPr>
          <w:rFonts w:ascii="Open Sans" w:hAnsi="Open Sans" w:cs="Open Sans"/>
          <w:sz w:val="24"/>
          <w:szCs w:val="24"/>
        </w:rPr>
        <w:t>chronic kidney disease, cerebrovascular accident, cancer, liver disease,</w:t>
      </w:r>
      <w:r w:rsidR="008837B6" w:rsidRPr="003668C9">
        <w:rPr>
          <w:rFonts w:ascii="Open Sans" w:hAnsi="Open Sans" w:cs="Open Sans"/>
          <w:sz w:val="24"/>
          <w:szCs w:val="24"/>
        </w:rPr>
        <w:t xml:space="preserve"> </w:t>
      </w:r>
      <w:r w:rsidR="00A90A5E" w:rsidRPr="003668C9">
        <w:rPr>
          <w:rFonts w:ascii="Open Sans" w:hAnsi="Open Sans" w:cs="Open Sans"/>
          <w:sz w:val="24"/>
          <w:szCs w:val="24"/>
        </w:rPr>
        <w:t>CHF,</w:t>
      </w:r>
      <w:r w:rsidR="008837B6" w:rsidRPr="003668C9">
        <w:rPr>
          <w:rFonts w:ascii="Open Sans" w:hAnsi="Open Sans" w:cs="Open Sans"/>
          <w:sz w:val="24"/>
          <w:szCs w:val="24"/>
        </w:rPr>
        <w:t xml:space="preserve"> </w:t>
      </w:r>
      <w:r w:rsidR="00A90A5E" w:rsidRPr="003668C9">
        <w:rPr>
          <w:rFonts w:ascii="Open Sans" w:hAnsi="Open Sans" w:cs="Open Sans"/>
          <w:sz w:val="24"/>
          <w:szCs w:val="24"/>
        </w:rPr>
        <w:t>diabetes, vascular disease, respiratory dysfunction, neurological disorders</w:t>
      </w:r>
      <w:r w:rsidR="00EF3CEE" w:rsidRPr="003668C9">
        <w:rPr>
          <w:rFonts w:ascii="Open Sans" w:hAnsi="Open Sans" w:cs="Open Sans"/>
          <w:sz w:val="24"/>
          <w:szCs w:val="24"/>
        </w:rPr>
        <w:t xml:space="preserve">, </w:t>
      </w:r>
      <w:r w:rsidRPr="003668C9">
        <w:rPr>
          <w:rFonts w:ascii="Open Sans" w:hAnsi="Open Sans" w:cs="Open Sans"/>
          <w:sz w:val="24"/>
          <w:szCs w:val="24"/>
        </w:rPr>
        <w:t>among</w:t>
      </w:r>
      <w:r w:rsidR="00EF3CEE" w:rsidRPr="003668C9">
        <w:rPr>
          <w:rFonts w:ascii="Open Sans" w:hAnsi="Open Sans" w:cs="Open Sans"/>
          <w:sz w:val="24"/>
          <w:szCs w:val="24"/>
        </w:rPr>
        <w:t xml:space="preserve"> others. </w:t>
      </w:r>
    </w:p>
    <w:p w14:paraId="6A9EC525" w14:textId="77777777" w:rsidR="00A90A5E" w:rsidRPr="003668C9" w:rsidRDefault="00A90A5E" w:rsidP="00357146">
      <w:pPr>
        <w:spacing w:after="0" w:line="240" w:lineRule="auto"/>
        <w:contextualSpacing/>
        <w:rPr>
          <w:rFonts w:ascii="Open Sans" w:hAnsi="Open Sans" w:cs="Open Sans"/>
          <w:b/>
          <w:sz w:val="24"/>
          <w:szCs w:val="24"/>
        </w:rPr>
      </w:pPr>
    </w:p>
    <w:p w14:paraId="70EBFB39" w14:textId="4BC5496D" w:rsidR="00A90A5E" w:rsidRPr="003668C9" w:rsidRDefault="00A90A5E" w:rsidP="003668C9">
      <w:pPr>
        <w:pStyle w:val="Heading2"/>
        <w:rPr>
          <w:color w:val="auto"/>
        </w:rPr>
      </w:pPr>
      <w:r w:rsidRPr="003668C9">
        <w:rPr>
          <w:color w:val="auto"/>
        </w:rPr>
        <w:t>Average Index Length of Stay (LOS)</w:t>
      </w:r>
    </w:p>
    <w:p w14:paraId="2811BE7B" w14:textId="719BD059" w:rsidR="00A90A5E" w:rsidRPr="003668C9" w:rsidRDefault="00A90A5E" w:rsidP="00F11028">
      <w:pPr>
        <w:pStyle w:val="ListParagraph"/>
        <w:numPr>
          <w:ilvl w:val="0"/>
          <w:numId w:val="16"/>
        </w:numPr>
        <w:spacing w:after="0" w:line="240" w:lineRule="auto"/>
        <w:rPr>
          <w:rFonts w:ascii="Open Sans" w:hAnsi="Open Sans" w:cs="Open Sans"/>
          <w:sz w:val="24"/>
          <w:szCs w:val="24"/>
        </w:rPr>
      </w:pPr>
      <w:r w:rsidRPr="003668C9">
        <w:rPr>
          <w:rFonts w:ascii="Open Sans" w:hAnsi="Open Sans" w:cs="Open Sans"/>
          <w:sz w:val="24"/>
          <w:szCs w:val="24"/>
        </w:rPr>
        <w:t xml:space="preserve">Average length of stay </w:t>
      </w:r>
      <w:r w:rsidR="002E0C2A" w:rsidRPr="003668C9">
        <w:rPr>
          <w:rFonts w:ascii="Open Sans" w:hAnsi="Open Sans" w:cs="Open Sans"/>
          <w:sz w:val="24"/>
          <w:szCs w:val="24"/>
        </w:rPr>
        <w:t>in days for a given condition at the index facility</w:t>
      </w:r>
      <w:r w:rsidR="0072009C" w:rsidRPr="003668C9">
        <w:rPr>
          <w:rFonts w:ascii="Open Sans" w:hAnsi="Open Sans" w:cs="Open Sans"/>
          <w:sz w:val="24"/>
          <w:szCs w:val="24"/>
        </w:rPr>
        <w:t xml:space="preserve">, </w:t>
      </w:r>
      <w:r w:rsidR="00B57F1B" w:rsidRPr="003668C9">
        <w:rPr>
          <w:rFonts w:ascii="Open Sans" w:hAnsi="Open Sans" w:cs="Open Sans"/>
          <w:sz w:val="24"/>
          <w:szCs w:val="24"/>
        </w:rPr>
        <w:t>with each length of stay calculated</w:t>
      </w:r>
      <w:r w:rsidR="0072009C" w:rsidRPr="003668C9">
        <w:rPr>
          <w:rFonts w:ascii="Open Sans" w:hAnsi="Open Sans" w:cs="Open Sans"/>
          <w:sz w:val="24"/>
          <w:szCs w:val="24"/>
        </w:rPr>
        <w:t xml:space="preserve"> with a minimum length of stay of 1 day</w:t>
      </w:r>
      <w:r w:rsidR="002E0C2A" w:rsidRPr="003668C9">
        <w:rPr>
          <w:rFonts w:ascii="Open Sans" w:hAnsi="Open Sans" w:cs="Open Sans"/>
          <w:sz w:val="24"/>
          <w:szCs w:val="24"/>
        </w:rPr>
        <w:t>.</w:t>
      </w:r>
    </w:p>
    <w:p w14:paraId="0194DFB8" w14:textId="0437F355" w:rsidR="00B57F1B" w:rsidRPr="003668C9" w:rsidRDefault="00B57F1B" w:rsidP="00F11028">
      <w:pPr>
        <w:pStyle w:val="ListParagraph"/>
        <w:numPr>
          <w:ilvl w:val="0"/>
          <w:numId w:val="16"/>
        </w:numPr>
        <w:spacing w:after="0" w:line="240" w:lineRule="auto"/>
        <w:rPr>
          <w:rFonts w:ascii="Open Sans" w:hAnsi="Open Sans" w:cs="Open Sans"/>
          <w:sz w:val="24"/>
          <w:szCs w:val="24"/>
        </w:rPr>
      </w:pPr>
      <w:r w:rsidRPr="003668C9">
        <w:rPr>
          <w:rFonts w:ascii="Open Sans" w:hAnsi="Open Sans" w:cs="Open Sans"/>
          <w:sz w:val="24"/>
          <w:szCs w:val="24"/>
        </w:rPr>
        <w:t>Length of stay = Discharge date – Admission date + 1</w:t>
      </w:r>
    </w:p>
    <w:p w14:paraId="76E8711A" w14:textId="77777777" w:rsidR="003668C9" w:rsidRPr="003668C9" w:rsidRDefault="003668C9" w:rsidP="00357146">
      <w:pPr>
        <w:spacing w:after="0" w:line="240" w:lineRule="auto"/>
        <w:contextualSpacing/>
        <w:rPr>
          <w:rFonts w:ascii="Open Sans" w:hAnsi="Open Sans" w:cs="Open Sans"/>
          <w:bCs/>
          <w:sz w:val="24"/>
          <w:szCs w:val="24"/>
        </w:rPr>
      </w:pPr>
    </w:p>
    <w:p w14:paraId="29A69AFD" w14:textId="62E7EFD4" w:rsidR="009C7E98" w:rsidRPr="003668C9" w:rsidRDefault="000D7D44" w:rsidP="003668C9">
      <w:pPr>
        <w:pStyle w:val="Heading2"/>
        <w:rPr>
          <w:color w:val="auto"/>
        </w:rPr>
      </w:pPr>
      <w:r w:rsidRPr="003668C9">
        <w:rPr>
          <w:color w:val="auto"/>
        </w:rPr>
        <w:t xml:space="preserve">30 </w:t>
      </w:r>
      <w:r w:rsidR="005F2332" w:rsidRPr="003668C9">
        <w:rPr>
          <w:color w:val="auto"/>
        </w:rPr>
        <w:t>or 90-day Readmission R</w:t>
      </w:r>
      <w:r w:rsidR="00B51DAD" w:rsidRPr="003668C9">
        <w:rPr>
          <w:color w:val="auto"/>
        </w:rPr>
        <w:t>ate</w:t>
      </w:r>
    </w:p>
    <w:p w14:paraId="5974CA70" w14:textId="77777777" w:rsidR="000D7D44" w:rsidRPr="003668C9" w:rsidRDefault="00D93282" w:rsidP="00F11028">
      <w:pPr>
        <w:pStyle w:val="ListParagraph"/>
        <w:numPr>
          <w:ilvl w:val="0"/>
          <w:numId w:val="17"/>
        </w:numPr>
        <w:spacing w:after="0" w:line="240" w:lineRule="auto"/>
        <w:rPr>
          <w:rFonts w:ascii="Open Sans" w:hAnsi="Open Sans" w:cs="Open Sans"/>
          <w:sz w:val="24"/>
          <w:szCs w:val="24"/>
        </w:rPr>
      </w:pPr>
      <w:r w:rsidRPr="003668C9">
        <w:rPr>
          <w:rFonts w:ascii="Open Sans" w:hAnsi="Open Sans" w:cs="Open Sans"/>
          <w:sz w:val="24"/>
          <w:szCs w:val="24"/>
        </w:rPr>
        <w:t>N</w:t>
      </w:r>
      <w:r w:rsidR="000D7D44" w:rsidRPr="003668C9">
        <w:rPr>
          <w:rFonts w:ascii="Open Sans" w:hAnsi="Open Sans" w:cs="Open Sans"/>
          <w:sz w:val="24"/>
          <w:szCs w:val="24"/>
        </w:rPr>
        <w:t>umerator</w:t>
      </w:r>
    </w:p>
    <w:p w14:paraId="70871DB3" w14:textId="2424296F" w:rsidR="00D93282" w:rsidRPr="003668C9" w:rsidRDefault="0072009C" w:rsidP="00F11028">
      <w:pPr>
        <w:pStyle w:val="ListParagraph"/>
        <w:numPr>
          <w:ilvl w:val="1"/>
          <w:numId w:val="17"/>
        </w:numPr>
        <w:spacing w:after="0" w:line="240" w:lineRule="auto"/>
        <w:rPr>
          <w:rFonts w:ascii="Open Sans" w:hAnsi="Open Sans" w:cs="Open Sans"/>
          <w:sz w:val="24"/>
          <w:szCs w:val="24"/>
        </w:rPr>
      </w:pPr>
      <w:r w:rsidRPr="003668C9">
        <w:rPr>
          <w:rFonts w:ascii="Open Sans" w:hAnsi="Open Sans" w:cs="Open Sans"/>
          <w:sz w:val="24"/>
          <w:szCs w:val="24"/>
        </w:rPr>
        <w:t xml:space="preserve">Number of </w:t>
      </w:r>
      <w:r w:rsidR="00D93282" w:rsidRPr="003668C9">
        <w:rPr>
          <w:rFonts w:ascii="Open Sans" w:hAnsi="Open Sans" w:cs="Open Sans"/>
          <w:sz w:val="24"/>
          <w:szCs w:val="24"/>
        </w:rPr>
        <w:t xml:space="preserve">patients with </w:t>
      </w:r>
      <w:proofErr w:type="gramStart"/>
      <w:r w:rsidR="009C7E98" w:rsidRPr="003668C9">
        <w:rPr>
          <w:rFonts w:ascii="Open Sans" w:hAnsi="Open Sans" w:cs="Open Sans"/>
          <w:sz w:val="24"/>
          <w:szCs w:val="24"/>
        </w:rPr>
        <w:t>an acute</w:t>
      </w:r>
      <w:proofErr w:type="gramEnd"/>
      <w:r w:rsidR="009C7E98" w:rsidRPr="003668C9">
        <w:rPr>
          <w:rFonts w:ascii="Open Sans" w:hAnsi="Open Sans" w:cs="Open Sans"/>
          <w:sz w:val="24"/>
          <w:szCs w:val="24"/>
        </w:rPr>
        <w:t xml:space="preserve"> care </w:t>
      </w:r>
      <w:r w:rsidR="00DE5EA6" w:rsidRPr="003668C9">
        <w:rPr>
          <w:rFonts w:ascii="Open Sans" w:hAnsi="Open Sans" w:cs="Open Sans"/>
          <w:sz w:val="24"/>
          <w:szCs w:val="24"/>
        </w:rPr>
        <w:t>hospitalization within 30 or 90-</w:t>
      </w:r>
      <w:r w:rsidR="009C7E98" w:rsidRPr="003668C9">
        <w:rPr>
          <w:rFonts w:ascii="Open Sans" w:hAnsi="Open Sans" w:cs="Open Sans"/>
          <w:sz w:val="24"/>
          <w:szCs w:val="24"/>
        </w:rPr>
        <w:t>days post</w:t>
      </w:r>
      <w:r w:rsidRPr="003668C9">
        <w:rPr>
          <w:rFonts w:ascii="Open Sans" w:hAnsi="Open Sans" w:cs="Open Sans"/>
          <w:sz w:val="24"/>
          <w:szCs w:val="24"/>
        </w:rPr>
        <w:t xml:space="preserve">-index </w:t>
      </w:r>
      <w:r w:rsidR="009C7E98" w:rsidRPr="003668C9">
        <w:rPr>
          <w:rFonts w:ascii="Open Sans" w:hAnsi="Open Sans" w:cs="Open Sans"/>
          <w:sz w:val="24"/>
          <w:szCs w:val="24"/>
        </w:rPr>
        <w:t>discharge</w:t>
      </w:r>
      <w:r w:rsidR="00CD6B05" w:rsidRPr="003668C9">
        <w:rPr>
          <w:rFonts w:ascii="Open Sans" w:hAnsi="Open Sans" w:cs="Open Sans"/>
          <w:sz w:val="24"/>
          <w:szCs w:val="24"/>
        </w:rPr>
        <w:t>.</w:t>
      </w:r>
    </w:p>
    <w:p w14:paraId="0A8B5544" w14:textId="77777777" w:rsidR="000D7D44" w:rsidRPr="003668C9" w:rsidRDefault="000D7D44" w:rsidP="00F11028">
      <w:pPr>
        <w:pStyle w:val="ListParagraph"/>
        <w:numPr>
          <w:ilvl w:val="0"/>
          <w:numId w:val="17"/>
        </w:numPr>
        <w:spacing w:after="0" w:line="240" w:lineRule="auto"/>
        <w:rPr>
          <w:rFonts w:ascii="Open Sans" w:hAnsi="Open Sans" w:cs="Open Sans"/>
          <w:sz w:val="24"/>
          <w:szCs w:val="24"/>
        </w:rPr>
      </w:pPr>
      <w:r w:rsidRPr="003668C9">
        <w:rPr>
          <w:rFonts w:ascii="Open Sans" w:hAnsi="Open Sans" w:cs="Open Sans"/>
          <w:sz w:val="24"/>
          <w:szCs w:val="24"/>
        </w:rPr>
        <w:t>Denominator</w:t>
      </w:r>
    </w:p>
    <w:p w14:paraId="5E360A06" w14:textId="6C9F1A7F" w:rsidR="008837B6" w:rsidRPr="003668C9" w:rsidRDefault="000D7D44" w:rsidP="00F11028">
      <w:pPr>
        <w:pStyle w:val="ListParagraph"/>
        <w:numPr>
          <w:ilvl w:val="1"/>
          <w:numId w:val="17"/>
        </w:numPr>
        <w:spacing w:after="0" w:line="240" w:lineRule="auto"/>
        <w:rPr>
          <w:rFonts w:ascii="Open Sans" w:hAnsi="Open Sans" w:cs="Open Sans"/>
          <w:b/>
          <w:sz w:val="24"/>
          <w:szCs w:val="24"/>
        </w:rPr>
      </w:pPr>
      <w:r w:rsidRPr="003668C9">
        <w:rPr>
          <w:rFonts w:ascii="Open Sans" w:hAnsi="Open Sans" w:cs="Open Sans"/>
          <w:sz w:val="24"/>
          <w:szCs w:val="24"/>
        </w:rPr>
        <w:t xml:space="preserve">Total </w:t>
      </w:r>
      <w:r w:rsidR="0072009C" w:rsidRPr="003668C9">
        <w:rPr>
          <w:rFonts w:ascii="Open Sans" w:hAnsi="Open Sans" w:cs="Open Sans"/>
          <w:sz w:val="24"/>
          <w:szCs w:val="24"/>
        </w:rPr>
        <w:t xml:space="preserve">number of </w:t>
      </w:r>
      <w:r w:rsidRPr="003668C9">
        <w:rPr>
          <w:rFonts w:ascii="Open Sans" w:hAnsi="Open Sans" w:cs="Open Sans"/>
          <w:sz w:val="24"/>
          <w:szCs w:val="24"/>
        </w:rPr>
        <w:t>patients that had an index stay for a given condition at a given facility</w:t>
      </w:r>
      <w:r w:rsidR="008837B6" w:rsidRPr="003668C9">
        <w:rPr>
          <w:rFonts w:ascii="Open Sans" w:hAnsi="Open Sans" w:cs="Open Sans"/>
          <w:b/>
          <w:sz w:val="24"/>
          <w:szCs w:val="24"/>
        </w:rPr>
        <w:t>.</w:t>
      </w:r>
    </w:p>
    <w:p w14:paraId="2EC863F0" w14:textId="77777777" w:rsidR="00357146" w:rsidRPr="003668C9" w:rsidRDefault="00357146" w:rsidP="00357146">
      <w:pPr>
        <w:pStyle w:val="ListParagraph"/>
        <w:spacing w:after="0" w:line="240" w:lineRule="auto"/>
        <w:ind w:left="1080"/>
        <w:rPr>
          <w:rFonts w:ascii="Open Sans" w:hAnsi="Open Sans" w:cs="Open Sans"/>
          <w:b/>
          <w:sz w:val="24"/>
          <w:szCs w:val="24"/>
        </w:rPr>
      </w:pPr>
    </w:p>
    <w:p w14:paraId="67CDCE1B" w14:textId="4BABE44E" w:rsidR="00B51DAD" w:rsidRPr="003668C9" w:rsidRDefault="00B51DAD" w:rsidP="003668C9">
      <w:pPr>
        <w:pStyle w:val="Heading2"/>
        <w:rPr>
          <w:color w:val="auto"/>
        </w:rPr>
      </w:pPr>
      <w:r w:rsidRPr="003668C9">
        <w:rPr>
          <w:color w:val="auto"/>
        </w:rPr>
        <w:t xml:space="preserve">30 </w:t>
      </w:r>
      <w:r w:rsidR="00BF6F67" w:rsidRPr="003668C9">
        <w:rPr>
          <w:color w:val="auto"/>
        </w:rPr>
        <w:t xml:space="preserve">or </w:t>
      </w:r>
      <w:r w:rsidRPr="003668C9">
        <w:rPr>
          <w:color w:val="auto"/>
        </w:rPr>
        <w:t xml:space="preserve">90-day </w:t>
      </w:r>
      <w:r w:rsidR="005F2332" w:rsidRPr="003668C9">
        <w:rPr>
          <w:color w:val="auto"/>
        </w:rPr>
        <w:t>Emergency Department (</w:t>
      </w:r>
      <w:r w:rsidRPr="003668C9">
        <w:rPr>
          <w:color w:val="auto"/>
        </w:rPr>
        <w:t>ED</w:t>
      </w:r>
      <w:r w:rsidR="005F2332" w:rsidRPr="003668C9">
        <w:rPr>
          <w:color w:val="auto"/>
        </w:rPr>
        <w:t>) R</w:t>
      </w:r>
      <w:r w:rsidRPr="003668C9">
        <w:rPr>
          <w:color w:val="auto"/>
        </w:rPr>
        <w:t>ate</w:t>
      </w:r>
    </w:p>
    <w:p w14:paraId="5D68D1AD" w14:textId="77777777" w:rsidR="000D7D44" w:rsidRPr="003668C9" w:rsidRDefault="00D93282" w:rsidP="00F11028">
      <w:pPr>
        <w:pStyle w:val="ListParagraph"/>
        <w:numPr>
          <w:ilvl w:val="0"/>
          <w:numId w:val="18"/>
        </w:numPr>
        <w:spacing w:after="0" w:line="240" w:lineRule="auto"/>
        <w:rPr>
          <w:rFonts w:ascii="Open Sans" w:hAnsi="Open Sans" w:cs="Open Sans"/>
          <w:sz w:val="24"/>
          <w:szCs w:val="24"/>
        </w:rPr>
      </w:pPr>
      <w:r w:rsidRPr="003668C9">
        <w:rPr>
          <w:rFonts w:ascii="Open Sans" w:hAnsi="Open Sans" w:cs="Open Sans"/>
          <w:sz w:val="24"/>
          <w:szCs w:val="24"/>
        </w:rPr>
        <w:t>Numerator</w:t>
      </w:r>
    </w:p>
    <w:p w14:paraId="1940BAF5" w14:textId="4EB4E6F2" w:rsidR="00D93282" w:rsidRPr="003668C9" w:rsidRDefault="0072009C" w:rsidP="00F11028">
      <w:pPr>
        <w:pStyle w:val="ListParagraph"/>
        <w:numPr>
          <w:ilvl w:val="1"/>
          <w:numId w:val="18"/>
        </w:numPr>
        <w:spacing w:after="0" w:line="240" w:lineRule="auto"/>
        <w:rPr>
          <w:rFonts w:ascii="Open Sans" w:hAnsi="Open Sans" w:cs="Open Sans"/>
          <w:sz w:val="24"/>
          <w:szCs w:val="24"/>
        </w:rPr>
      </w:pPr>
      <w:r w:rsidRPr="003668C9">
        <w:rPr>
          <w:rFonts w:ascii="Open Sans" w:hAnsi="Open Sans" w:cs="Open Sans"/>
          <w:sz w:val="24"/>
          <w:szCs w:val="24"/>
        </w:rPr>
        <w:t>Number of patients</w:t>
      </w:r>
      <w:r w:rsidR="00D93282" w:rsidRPr="003668C9">
        <w:rPr>
          <w:rFonts w:ascii="Open Sans" w:hAnsi="Open Sans" w:cs="Open Sans"/>
          <w:sz w:val="24"/>
          <w:szCs w:val="24"/>
        </w:rPr>
        <w:t xml:space="preserve"> </w:t>
      </w:r>
      <w:r w:rsidR="00CD6B05" w:rsidRPr="003668C9">
        <w:rPr>
          <w:rFonts w:ascii="Open Sans" w:hAnsi="Open Sans" w:cs="Open Sans"/>
          <w:sz w:val="24"/>
          <w:szCs w:val="24"/>
        </w:rPr>
        <w:t xml:space="preserve">with </w:t>
      </w:r>
      <w:r w:rsidR="00D93282" w:rsidRPr="003668C9">
        <w:rPr>
          <w:rFonts w:ascii="Open Sans" w:hAnsi="Open Sans" w:cs="Open Sans"/>
          <w:sz w:val="24"/>
          <w:szCs w:val="24"/>
        </w:rPr>
        <w:t>an emergency department visit</w:t>
      </w:r>
      <w:r w:rsidR="00CD6B05" w:rsidRPr="003668C9">
        <w:rPr>
          <w:rFonts w:ascii="Open Sans" w:hAnsi="Open Sans" w:cs="Open Sans"/>
          <w:sz w:val="24"/>
          <w:szCs w:val="24"/>
        </w:rPr>
        <w:t xml:space="preserve">, but not </w:t>
      </w:r>
      <w:proofErr w:type="gramStart"/>
      <w:r w:rsidR="00CD6B05" w:rsidRPr="003668C9">
        <w:rPr>
          <w:rFonts w:ascii="Open Sans" w:hAnsi="Open Sans" w:cs="Open Sans"/>
          <w:sz w:val="24"/>
          <w:szCs w:val="24"/>
        </w:rPr>
        <w:t>a resulting</w:t>
      </w:r>
      <w:proofErr w:type="gramEnd"/>
      <w:r w:rsidR="00CD6B05" w:rsidRPr="003668C9">
        <w:rPr>
          <w:rFonts w:ascii="Open Sans" w:hAnsi="Open Sans" w:cs="Open Sans"/>
          <w:sz w:val="24"/>
          <w:szCs w:val="24"/>
        </w:rPr>
        <w:t xml:space="preserve"> readmission,</w:t>
      </w:r>
      <w:r w:rsidR="00D93282" w:rsidRPr="003668C9">
        <w:rPr>
          <w:rFonts w:ascii="Open Sans" w:hAnsi="Open Sans" w:cs="Open Sans"/>
          <w:sz w:val="24"/>
          <w:szCs w:val="24"/>
        </w:rPr>
        <w:t xml:space="preserve"> within 30 or 90-days post</w:t>
      </w:r>
      <w:r w:rsidRPr="003668C9">
        <w:rPr>
          <w:rFonts w:ascii="Open Sans" w:hAnsi="Open Sans" w:cs="Open Sans"/>
          <w:sz w:val="24"/>
          <w:szCs w:val="24"/>
        </w:rPr>
        <w:t>-index</w:t>
      </w:r>
      <w:r w:rsidR="00D93282" w:rsidRPr="003668C9">
        <w:rPr>
          <w:rFonts w:ascii="Open Sans" w:hAnsi="Open Sans" w:cs="Open Sans"/>
          <w:sz w:val="24"/>
          <w:szCs w:val="24"/>
        </w:rPr>
        <w:t xml:space="preserve"> discharge</w:t>
      </w:r>
      <w:r w:rsidR="002E0C2A" w:rsidRPr="003668C9">
        <w:rPr>
          <w:rFonts w:ascii="Open Sans" w:hAnsi="Open Sans" w:cs="Open Sans"/>
          <w:sz w:val="24"/>
          <w:szCs w:val="24"/>
        </w:rPr>
        <w:t xml:space="preserve">. </w:t>
      </w:r>
    </w:p>
    <w:p w14:paraId="63510C10" w14:textId="77777777" w:rsidR="000D7D44" w:rsidRPr="003668C9" w:rsidRDefault="000D7D44" w:rsidP="00F11028">
      <w:pPr>
        <w:pStyle w:val="ListParagraph"/>
        <w:numPr>
          <w:ilvl w:val="0"/>
          <w:numId w:val="18"/>
        </w:numPr>
        <w:spacing w:after="0" w:line="240" w:lineRule="auto"/>
        <w:rPr>
          <w:rFonts w:ascii="Open Sans" w:hAnsi="Open Sans" w:cs="Open Sans"/>
          <w:sz w:val="24"/>
          <w:szCs w:val="24"/>
        </w:rPr>
      </w:pPr>
      <w:r w:rsidRPr="003668C9">
        <w:rPr>
          <w:rFonts w:ascii="Open Sans" w:hAnsi="Open Sans" w:cs="Open Sans"/>
          <w:sz w:val="24"/>
          <w:szCs w:val="24"/>
        </w:rPr>
        <w:t>Denominator</w:t>
      </w:r>
    </w:p>
    <w:p w14:paraId="2832A9BD" w14:textId="58348EE9" w:rsidR="00A90A5E" w:rsidRPr="003668C9" w:rsidRDefault="000D7D44" w:rsidP="00F11028">
      <w:pPr>
        <w:pStyle w:val="ListParagraph"/>
        <w:numPr>
          <w:ilvl w:val="1"/>
          <w:numId w:val="18"/>
        </w:numPr>
        <w:spacing w:after="0" w:line="240" w:lineRule="auto"/>
        <w:rPr>
          <w:rFonts w:ascii="Open Sans" w:hAnsi="Open Sans" w:cs="Open Sans"/>
          <w:b/>
          <w:sz w:val="24"/>
          <w:szCs w:val="24"/>
        </w:rPr>
      </w:pPr>
      <w:r w:rsidRPr="003668C9">
        <w:rPr>
          <w:rFonts w:ascii="Open Sans" w:hAnsi="Open Sans" w:cs="Open Sans"/>
          <w:sz w:val="24"/>
          <w:szCs w:val="24"/>
        </w:rPr>
        <w:t xml:space="preserve">Total </w:t>
      </w:r>
      <w:r w:rsidR="0072009C" w:rsidRPr="003668C9">
        <w:rPr>
          <w:rFonts w:ascii="Open Sans" w:hAnsi="Open Sans" w:cs="Open Sans"/>
          <w:sz w:val="24"/>
          <w:szCs w:val="24"/>
        </w:rPr>
        <w:t xml:space="preserve">number of </w:t>
      </w:r>
      <w:r w:rsidRPr="003668C9">
        <w:rPr>
          <w:rFonts w:ascii="Open Sans" w:hAnsi="Open Sans" w:cs="Open Sans"/>
          <w:sz w:val="24"/>
          <w:szCs w:val="24"/>
        </w:rPr>
        <w:t>patients that had an index stay for a given condition at a given facility</w:t>
      </w:r>
      <w:r w:rsidR="00CD6B05" w:rsidRPr="003668C9">
        <w:rPr>
          <w:rFonts w:ascii="Open Sans" w:hAnsi="Open Sans" w:cs="Open Sans"/>
          <w:sz w:val="24"/>
          <w:szCs w:val="24"/>
        </w:rPr>
        <w:t>.</w:t>
      </w:r>
    </w:p>
    <w:p w14:paraId="735B70E2" w14:textId="77777777" w:rsidR="00B57F1B" w:rsidRPr="003668C9" w:rsidRDefault="00B57F1B" w:rsidP="00FD2B58">
      <w:pPr>
        <w:pStyle w:val="ListParagraph"/>
        <w:spacing w:after="0" w:line="240" w:lineRule="auto"/>
        <w:ind w:left="1080"/>
        <w:rPr>
          <w:rFonts w:ascii="Open Sans" w:hAnsi="Open Sans" w:cs="Open Sans"/>
          <w:b/>
          <w:sz w:val="24"/>
          <w:szCs w:val="24"/>
        </w:rPr>
      </w:pPr>
    </w:p>
    <w:p w14:paraId="64102D3D" w14:textId="374A2D16" w:rsidR="00BF6F67" w:rsidRPr="003668C9" w:rsidRDefault="00BF6F67" w:rsidP="003668C9">
      <w:pPr>
        <w:pStyle w:val="Heading2"/>
        <w:rPr>
          <w:color w:val="auto"/>
        </w:rPr>
      </w:pPr>
      <w:r w:rsidRPr="003668C9">
        <w:rPr>
          <w:color w:val="auto"/>
        </w:rPr>
        <w:t>30 or 90-day Post-Acute Care (PAC) Utilization</w:t>
      </w:r>
      <w:r w:rsidR="00466B4D" w:rsidRPr="003668C9">
        <w:rPr>
          <w:color w:val="auto"/>
        </w:rPr>
        <w:t xml:space="preserve"> Rate</w:t>
      </w:r>
    </w:p>
    <w:p w14:paraId="5BA4598C" w14:textId="77777777" w:rsidR="00BF6F67" w:rsidRPr="003668C9" w:rsidRDefault="00BF6F67" w:rsidP="00F11028">
      <w:pPr>
        <w:pStyle w:val="ListParagraph"/>
        <w:numPr>
          <w:ilvl w:val="0"/>
          <w:numId w:val="19"/>
        </w:numPr>
        <w:spacing w:after="0" w:line="240" w:lineRule="auto"/>
        <w:rPr>
          <w:rFonts w:ascii="Open Sans" w:hAnsi="Open Sans" w:cs="Open Sans"/>
          <w:sz w:val="24"/>
          <w:szCs w:val="24"/>
        </w:rPr>
      </w:pPr>
      <w:r w:rsidRPr="003668C9">
        <w:rPr>
          <w:rFonts w:ascii="Open Sans" w:hAnsi="Open Sans" w:cs="Open Sans"/>
          <w:sz w:val="24"/>
          <w:szCs w:val="24"/>
        </w:rPr>
        <w:t>Numerator</w:t>
      </w:r>
    </w:p>
    <w:p w14:paraId="4B0C2846" w14:textId="099294BF" w:rsidR="00BF6F67" w:rsidRPr="003668C9" w:rsidRDefault="00BF6F67" w:rsidP="00F11028">
      <w:pPr>
        <w:pStyle w:val="ListParagraph"/>
        <w:numPr>
          <w:ilvl w:val="1"/>
          <w:numId w:val="19"/>
        </w:numPr>
        <w:spacing w:after="0" w:line="240" w:lineRule="auto"/>
        <w:rPr>
          <w:rFonts w:ascii="Open Sans" w:hAnsi="Open Sans" w:cs="Open Sans"/>
          <w:sz w:val="24"/>
          <w:szCs w:val="24"/>
        </w:rPr>
      </w:pPr>
      <w:r w:rsidRPr="003668C9">
        <w:rPr>
          <w:rFonts w:ascii="Open Sans" w:hAnsi="Open Sans" w:cs="Open Sans"/>
          <w:sz w:val="24"/>
          <w:szCs w:val="24"/>
        </w:rPr>
        <w:t xml:space="preserve">Number of patients who utilized each type of post-acute care within 30 or 90-days post discharge. Utilization of categories of post-acute care is assessed according to presence of facility claims categorized by type of claim according to bill type, DRG, revenue codes, and CPT codes. Categories of post-acute care commonly assessed include ED, skilled </w:t>
      </w:r>
      <w:r w:rsidRPr="003668C9">
        <w:rPr>
          <w:rFonts w:ascii="Open Sans" w:hAnsi="Open Sans" w:cs="Open Sans"/>
          <w:sz w:val="24"/>
          <w:szCs w:val="24"/>
        </w:rPr>
        <w:lastRenderedPageBreak/>
        <w:t>nursing facility (SNF), home health, inpatient rehabilitation, outpatient rehabilitation, and outpatient services</w:t>
      </w:r>
    </w:p>
    <w:p w14:paraId="2C71EC28" w14:textId="77777777" w:rsidR="00BF6F67" w:rsidRPr="003668C9" w:rsidRDefault="00BF6F67" w:rsidP="00F11028">
      <w:pPr>
        <w:pStyle w:val="ListParagraph"/>
        <w:numPr>
          <w:ilvl w:val="0"/>
          <w:numId w:val="19"/>
        </w:numPr>
        <w:spacing w:after="0" w:line="240" w:lineRule="auto"/>
        <w:rPr>
          <w:rFonts w:ascii="Open Sans" w:hAnsi="Open Sans" w:cs="Open Sans"/>
          <w:sz w:val="24"/>
          <w:szCs w:val="24"/>
        </w:rPr>
      </w:pPr>
      <w:r w:rsidRPr="003668C9">
        <w:rPr>
          <w:rFonts w:ascii="Open Sans" w:hAnsi="Open Sans" w:cs="Open Sans"/>
          <w:sz w:val="24"/>
          <w:szCs w:val="24"/>
        </w:rPr>
        <w:t>Denominator</w:t>
      </w:r>
    </w:p>
    <w:p w14:paraId="621F6F07" w14:textId="004125FE" w:rsidR="00BF6F67" w:rsidRPr="003668C9" w:rsidRDefault="00BF6F67" w:rsidP="00F11028">
      <w:pPr>
        <w:pStyle w:val="ListParagraph"/>
        <w:numPr>
          <w:ilvl w:val="1"/>
          <w:numId w:val="19"/>
        </w:numPr>
        <w:spacing w:after="0" w:line="240" w:lineRule="auto"/>
        <w:rPr>
          <w:rFonts w:ascii="Open Sans" w:hAnsi="Open Sans" w:cs="Open Sans"/>
          <w:b/>
          <w:sz w:val="24"/>
          <w:szCs w:val="24"/>
        </w:rPr>
      </w:pPr>
      <w:r w:rsidRPr="003668C9">
        <w:rPr>
          <w:rFonts w:ascii="Open Sans" w:hAnsi="Open Sans" w:cs="Open Sans"/>
          <w:sz w:val="24"/>
          <w:szCs w:val="24"/>
        </w:rPr>
        <w:t>Total number of patients that had an index stay for a given condition at a given facility.</w:t>
      </w:r>
    </w:p>
    <w:p w14:paraId="5E5B1F78" w14:textId="77777777" w:rsidR="00B57F1B" w:rsidRPr="003668C9" w:rsidRDefault="00B57F1B" w:rsidP="00F11028">
      <w:pPr>
        <w:pStyle w:val="ListParagraph"/>
        <w:spacing w:after="0" w:line="240" w:lineRule="auto"/>
        <w:ind w:left="1170"/>
        <w:rPr>
          <w:rFonts w:ascii="Open Sans" w:hAnsi="Open Sans" w:cs="Open Sans"/>
          <w:b/>
          <w:sz w:val="24"/>
          <w:szCs w:val="24"/>
        </w:rPr>
      </w:pPr>
    </w:p>
    <w:p w14:paraId="7ACCA1B4" w14:textId="6CDAFD41" w:rsidR="00B51DAD" w:rsidRPr="003668C9" w:rsidRDefault="005F2332" w:rsidP="003668C9">
      <w:pPr>
        <w:pStyle w:val="Heading2"/>
        <w:rPr>
          <w:color w:val="auto"/>
        </w:rPr>
      </w:pPr>
      <w:r w:rsidRPr="003668C9">
        <w:rPr>
          <w:color w:val="auto"/>
        </w:rPr>
        <w:t>Intensive Care Unit/Cardiac Care Unit (</w:t>
      </w:r>
      <w:r w:rsidR="00B51DAD" w:rsidRPr="003668C9">
        <w:rPr>
          <w:color w:val="auto"/>
        </w:rPr>
        <w:t>ICU/CCU</w:t>
      </w:r>
      <w:r w:rsidRPr="003668C9">
        <w:rPr>
          <w:color w:val="auto"/>
        </w:rPr>
        <w:t>) U</w:t>
      </w:r>
      <w:r w:rsidR="00B51DAD" w:rsidRPr="003668C9">
        <w:rPr>
          <w:color w:val="auto"/>
        </w:rPr>
        <w:t>tilization</w:t>
      </w:r>
      <w:r w:rsidRPr="003668C9">
        <w:rPr>
          <w:color w:val="auto"/>
        </w:rPr>
        <w:t xml:space="preserve"> Rate</w:t>
      </w:r>
    </w:p>
    <w:p w14:paraId="17646C2E" w14:textId="77777777" w:rsidR="00812AA0" w:rsidRPr="003668C9" w:rsidRDefault="00812AA0" w:rsidP="00F11028">
      <w:pPr>
        <w:pStyle w:val="ListParagraph"/>
        <w:numPr>
          <w:ilvl w:val="0"/>
          <w:numId w:val="20"/>
        </w:numPr>
        <w:spacing w:after="0" w:line="240" w:lineRule="auto"/>
        <w:rPr>
          <w:rFonts w:ascii="Open Sans" w:hAnsi="Open Sans" w:cs="Open Sans"/>
          <w:sz w:val="24"/>
          <w:szCs w:val="24"/>
        </w:rPr>
      </w:pPr>
      <w:r w:rsidRPr="003668C9">
        <w:rPr>
          <w:rFonts w:ascii="Open Sans" w:hAnsi="Open Sans" w:cs="Open Sans"/>
          <w:sz w:val="24"/>
          <w:szCs w:val="24"/>
        </w:rPr>
        <w:t>Numerator</w:t>
      </w:r>
    </w:p>
    <w:p w14:paraId="0296E8DF" w14:textId="0B81468D" w:rsidR="00812AA0" w:rsidRPr="003668C9" w:rsidRDefault="0072009C" w:rsidP="00F11028">
      <w:pPr>
        <w:pStyle w:val="ListParagraph"/>
        <w:numPr>
          <w:ilvl w:val="1"/>
          <w:numId w:val="20"/>
        </w:numPr>
        <w:spacing w:after="0" w:line="240" w:lineRule="auto"/>
        <w:rPr>
          <w:rFonts w:ascii="Open Sans" w:hAnsi="Open Sans" w:cs="Open Sans"/>
          <w:sz w:val="24"/>
          <w:szCs w:val="24"/>
        </w:rPr>
      </w:pPr>
      <w:r w:rsidRPr="003668C9">
        <w:rPr>
          <w:rFonts w:ascii="Open Sans" w:hAnsi="Open Sans" w:cs="Open Sans"/>
          <w:sz w:val="24"/>
          <w:szCs w:val="24"/>
        </w:rPr>
        <w:t xml:space="preserve">Number of </w:t>
      </w:r>
      <w:r w:rsidR="00812AA0" w:rsidRPr="003668C9">
        <w:rPr>
          <w:rFonts w:ascii="Open Sans" w:hAnsi="Open Sans" w:cs="Open Sans"/>
          <w:sz w:val="24"/>
          <w:szCs w:val="24"/>
        </w:rPr>
        <w:t xml:space="preserve">patients that utilized ICU or CCU </w:t>
      </w:r>
      <w:r w:rsidRPr="003668C9">
        <w:rPr>
          <w:rFonts w:ascii="Open Sans" w:hAnsi="Open Sans" w:cs="Open Sans"/>
          <w:sz w:val="24"/>
          <w:szCs w:val="24"/>
        </w:rPr>
        <w:t xml:space="preserve">care </w:t>
      </w:r>
      <w:r w:rsidR="00812AA0" w:rsidRPr="003668C9">
        <w:rPr>
          <w:rFonts w:ascii="Open Sans" w:hAnsi="Open Sans" w:cs="Open Sans"/>
          <w:sz w:val="24"/>
          <w:szCs w:val="24"/>
        </w:rPr>
        <w:t>during their index stay for a given condition at a given facility</w:t>
      </w:r>
      <w:r w:rsidR="00CD6B05" w:rsidRPr="003668C9">
        <w:rPr>
          <w:rFonts w:ascii="Open Sans" w:hAnsi="Open Sans" w:cs="Open Sans"/>
          <w:sz w:val="24"/>
          <w:szCs w:val="24"/>
        </w:rPr>
        <w:t>.</w:t>
      </w:r>
      <w:r w:rsidR="005B34C7" w:rsidRPr="003668C9">
        <w:rPr>
          <w:rFonts w:ascii="Open Sans" w:hAnsi="Open Sans" w:cs="Open Sans"/>
          <w:sz w:val="24"/>
          <w:szCs w:val="24"/>
        </w:rPr>
        <w:t xml:space="preserve"> MVC typically does not include step down/intermediate ICU/CCU utilization in its reporting and analyses.</w:t>
      </w:r>
    </w:p>
    <w:p w14:paraId="7270636A" w14:textId="0FA7D6B8" w:rsidR="005F2332" w:rsidRPr="003668C9" w:rsidRDefault="005F2332" w:rsidP="00F11028">
      <w:pPr>
        <w:pStyle w:val="ListParagraph"/>
        <w:numPr>
          <w:ilvl w:val="1"/>
          <w:numId w:val="20"/>
        </w:numPr>
        <w:spacing w:after="0" w:line="240" w:lineRule="auto"/>
        <w:rPr>
          <w:rFonts w:ascii="Open Sans" w:hAnsi="Open Sans" w:cs="Open Sans"/>
          <w:sz w:val="24"/>
          <w:szCs w:val="24"/>
        </w:rPr>
      </w:pPr>
      <w:r w:rsidRPr="003668C9">
        <w:rPr>
          <w:rFonts w:ascii="Open Sans" w:hAnsi="Open Sans" w:cs="Open Sans"/>
          <w:sz w:val="24"/>
          <w:szCs w:val="24"/>
        </w:rPr>
        <w:t xml:space="preserve">ICU/CCU is defined using the following revenue codes: 200, 201, 202, 203, 204, 207, 208, 209, 210, </w:t>
      </w:r>
      <w:r w:rsidR="00874226" w:rsidRPr="003668C9">
        <w:rPr>
          <w:rFonts w:ascii="Open Sans" w:hAnsi="Open Sans" w:cs="Open Sans"/>
          <w:sz w:val="24"/>
          <w:szCs w:val="24"/>
        </w:rPr>
        <w:t xml:space="preserve">211, </w:t>
      </w:r>
      <w:r w:rsidRPr="003668C9">
        <w:rPr>
          <w:rFonts w:ascii="Open Sans" w:hAnsi="Open Sans" w:cs="Open Sans"/>
          <w:sz w:val="24"/>
          <w:szCs w:val="24"/>
        </w:rPr>
        <w:t>212, 213, 219</w:t>
      </w:r>
      <w:r w:rsidR="00CD6B05" w:rsidRPr="003668C9">
        <w:rPr>
          <w:rFonts w:ascii="Open Sans" w:hAnsi="Open Sans" w:cs="Open Sans"/>
          <w:sz w:val="24"/>
          <w:szCs w:val="24"/>
        </w:rPr>
        <w:t>.</w:t>
      </w:r>
    </w:p>
    <w:p w14:paraId="3FB5B00E" w14:textId="0C0A0E7C" w:rsidR="005B34C7" w:rsidRPr="003668C9" w:rsidRDefault="005B34C7" w:rsidP="00F11028">
      <w:pPr>
        <w:pStyle w:val="ListParagraph"/>
        <w:numPr>
          <w:ilvl w:val="1"/>
          <w:numId w:val="20"/>
        </w:numPr>
        <w:spacing w:after="0" w:line="240" w:lineRule="auto"/>
        <w:rPr>
          <w:rFonts w:ascii="Open Sans" w:hAnsi="Open Sans" w:cs="Open Sans"/>
          <w:sz w:val="24"/>
          <w:szCs w:val="24"/>
        </w:rPr>
      </w:pPr>
      <w:r w:rsidRPr="003668C9">
        <w:rPr>
          <w:rFonts w:ascii="Open Sans" w:hAnsi="Open Sans" w:cs="Open Sans"/>
          <w:sz w:val="24"/>
          <w:szCs w:val="24"/>
        </w:rPr>
        <w:t>Step down/intermediate ICU/CCU is defined using revenue codes 206 and 214.</w:t>
      </w:r>
    </w:p>
    <w:p w14:paraId="5CA2C063" w14:textId="77777777" w:rsidR="00812AA0" w:rsidRPr="003668C9" w:rsidRDefault="00812AA0" w:rsidP="00F11028">
      <w:pPr>
        <w:pStyle w:val="ListParagraph"/>
        <w:numPr>
          <w:ilvl w:val="0"/>
          <w:numId w:val="20"/>
        </w:numPr>
        <w:spacing w:after="0" w:line="240" w:lineRule="auto"/>
        <w:rPr>
          <w:rFonts w:ascii="Open Sans" w:hAnsi="Open Sans" w:cs="Open Sans"/>
          <w:sz w:val="24"/>
          <w:szCs w:val="24"/>
        </w:rPr>
      </w:pPr>
      <w:r w:rsidRPr="003668C9">
        <w:rPr>
          <w:rFonts w:ascii="Open Sans" w:hAnsi="Open Sans" w:cs="Open Sans"/>
          <w:sz w:val="24"/>
          <w:szCs w:val="24"/>
        </w:rPr>
        <w:t>Denominator</w:t>
      </w:r>
    </w:p>
    <w:p w14:paraId="6ABB6F80" w14:textId="38AAA58A" w:rsidR="00812AA0" w:rsidRPr="003668C9" w:rsidRDefault="00812AA0" w:rsidP="00F11028">
      <w:pPr>
        <w:pStyle w:val="ListParagraph"/>
        <w:numPr>
          <w:ilvl w:val="1"/>
          <w:numId w:val="20"/>
        </w:numPr>
        <w:spacing w:after="0" w:line="240" w:lineRule="auto"/>
        <w:rPr>
          <w:rFonts w:ascii="Open Sans" w:hAnsi="Open Sans" w:cs="Open Sans"/>
          <w:sz w:val="24"/>
          <w:szCs w:val="24"/>
        </w:rPr>
      </w:pPr>
      <w:r w:rsidRPr="003668C9">
        <w:rPr>
          <w:rFonts w:ascii="Open Sans" w:hAnsi="Open Sans" w:cs="Open Sans"/>
          <w:sz w:val="24"/>
          <w:szCs w:val="24"/>
        </w:rPr>
        <w:t xml:space="preserve">Total </w:t>
      </w:r>
      <w:r w:rsidR="00F45235" w:rsidRPr="003668C9">
        <w:rPr>
          <w:rFonts w:ascii="Open Sans" w:hAnsi="Open Sans" w:cs="Open Sans"/>
          <w:sz w:val="24"/>
          <w:szCs w:val="24"/>
        </w:rPr>
        <w:t xml:space="preserve">number of </w:t>
      </w:r>
      <w:r w:rsidRPr="003668C9">
        <w:rPr>
          <w:rFonts w:ascii="Open Sans" w:hAnsi="Open Sans" w:cs="Open Sans"/>
          <w:sz w:val="24"/>
          <w:szCs w:val="24"/>
        </w:rPr>
        <w:t>patients that had an index stay for a given condition at a given facility</w:t>
      </w:r>
      <w:r w:rsidR="00CD6B05" w:rsidRPr="003668C9">
        <w:rPr>
          <w:rFonts w:ascii="Open Sans" w:hAnsi="Open Sans" w:cs="Open Sans"/>
          <w:sz w:val="24"/>
          <w:szCs w:val="24"/>
        </w:rPr>
        <w:t>.</w:t>
      </w:r>
    </w:p>
    <w:p w14:paraId="30E43F2A" w14:textId="77777777" w:rsidR="00F11028" w:rsidRPr="003668C9" w:rsidRDefault="00F11028" w:rsidP="00FD2B58">
      <w:pPr>
        <w:spacing w:after="0" w:line="240" w:lineRule="auto"/>
        <w:contextualSpacing/>
        <w:rPr>
          <w:rFonts w:ascii="Open Sans" w:hAnsi="Open Sans" w:cs="Open Sans"/>
          <w:b/>
          <w:sz w:val="24"/>
          <w:szCs w:val="24"/>
        </w:rPr>
      </w:pPr>
    </w:p>
    <w:p w14:paraId="43931A67" w14:textId="57E2BFC8" w:rsidR="00B51DAD" w:rsidRPr="003668C9" w:rsidRDefault="00B51DAD" w:rsidP="003668C9">
      <w:pPr>
        <w:pStyle w:val="Heading2"/>
        <w:rPr>
          <w:color w:val="auto"/>
        </w:rPr>
      </w:pPr>
      <w:r w:rsidRPr="003668C9">
        <w:rPr>
          <w:color w:val="auto"/>
        </w:rPr>
        <w:t>D</w:t>
      </w:r>
      <w:r w:rsidR="000D7D44" w:rsidRPr="003668C9">
        <w:rPr>
          <w:color w:val="auto"/>
        </w:rPr>
        <w:t>ischarge D</w:t>
      </w:r>
      <w:r w:rsidRPr="003668C9">
        <w:rPr>
          <w:color w:val="auto"/>
        </w:rPr>
        <w:t>isposition</w:t>
      </w:r>
      <w:r w:rsidR="009552C4" w:rsidRPr="003668C9">
        <w:rPr>
          <w:color w:val="auto"/>
        </w:rPr>
        <w:t xml:space="preserve"> Rate</w:t>
      </w:r>
    </w:p>
    <w:tbl>
      <w:tblPr>
        <w:tblStyle w:val="TableGrid"/>
        <w:tblW w:w="5000" w:type="pct"/>
        <w:jc w:val="center"/>
        <w:tblLook w:val="04A0" w:firstRow="1" w:lastRow="0" w:firstColumn="1" w:lastColumn="0" w:noHBand="0" w:noVBand="1"/>
      </w:tblPr>
      <w:tblGrid>
        <w:gridCol w:w="4675"/>
        <w:gridCol w:w="4675"/>
      </w:tblGrid>
      <w:tr w:rsidR="00091E95" w:rsidRPr="003668C9" w14:paraId="2B9237B0" w14:textId="77777777" w:rsidTr="003668C9">
        <w:trPr>
          <w:cantSplit/>
          <w:tblHeader/>
          <w:jc w:val="center"/>
        </w:trPr>
        <w:tc>
          <w:tcPr>
            <w:tcW w:w="2500" w:type="pct"/>
            <w:shd w:val="clear" w:color="auto" w:fill="004A76" w:themeFill="accent1"/>
          </w:tcPr>
          <w:p w14:paraId="7D68B316" w14:textId="77777777" w:rsidR="00091E95" w:rsidRPr="003668C9" w:rsidRDefault="00091E95" w:rsidP="00FD2B58">
            <w:pPr>
              <w:contextualSpacing/>
              <w:rPr>
                <w:rFonts w:ascii="Open Sans" w:hAnsi="Open Sans" w:cs="Open Sans"/>
                <w:b/>
                <w:sz w:val="24"/>
                <w:szCs w:val="24"/>
              </w:rPr>
            </w:pPr>
            <w:r w:rsidRPr="003668C9">
              <w:rPr>
                <w:rFonts w:ascii="Open Sans" w:hAnsi="Open Sans" w:cs="Open Sans"/>
                <w:b/>
                <w:sz w:val="24"/>
                <w:szCs w:val="24"/>
              </w:rPr>
              <w:t>Location of Discharge</w:t>
            </w:r>
          </w:p>
        </w:tc>
        <w:tc>
          <w:tcPr>
            <w:tcW w:w="2500" w:type="pct"/>
            <w:shd w:val="clear" w:color="auto" w:fill="004A76" w:themeFill="accent1"/>
          </w:tcPr>
          <w:p w14:paraId="34AB52BF" w14:textId="77777777" w:rsidR="00091E95" w:rsidRPr="003668C9" w:rsidRDefault="00091E95" w:rsidP="00FD2B58">
            <w:pPr>
              <w:contextualSpacing/>
              <w:rPr>
                <w:rFonts w:ascii="Open Sans" w:hAnsi="Open Sans" w:cs="Open Sans"/>
                <w:b/>
                <w:sz w:val="24"/>
                <w:szCs w:val="24"/>
              </w:rPr>
            </w:pPr>
            <w:r w:rsidRPr="003668C9">
              <w:rPr>
                <w:rFonts w:ascii="Open Sans" w:hAnsi="Open Sans" w:cs="Open Sans"/>
                <w:b/>
                <w:sz w:val="24"/>
                <w:szCs w:val="24"/>
              </w:rPr>
              <w:t>Medicare Discharge Disposition Code</w:t>
            </w:r>
          </w:p>
        </w:tc>
      </w:tr>
      <w:tr w:rsidR="00091E95" w:rsidRPr="003668C9" w14:paraId="19739C82" w14:textId="77777777" w:rsidTr="00FD2B58">
        <w:trPr>
          <w:jc w:val="center"/>
        </w:trPr>
        <w:tc>
          <w:tcPr>
            <w:tcW w:w="2500" w:type="pct"/>
          </w:tcPr>
          <w:p w14:paraId="236F2DA9" w14:textId="77777777" w:rsidR="00091E95" w:rsidRPr="003668C9" w:rsidRDefault="00091E95" w:rsidP="00FD2B58">
            <w:pPr>
              <w:contextualSpacing/>
              <w:rPr>
                <w:rFonts w:ascii="Open Sans" w:hAnsi="Open Sans" w:cs="Open Sans"/>
                <w:sz w:val="24"/>
                <w:szCs w:val="24"/>
              </w:rPr>
            </w:pPr>
            <w:r w:rsidRPr="003668C9">
              <w:rPr>
                <w:rFonts w:ascii="Open Sans" w:hAnsi="Open Sans" w:cs="Open Sans"/>
                <w:sz w:val="24"/>
                <w:szCs w:val="24"/>
              </w:rPr>
              <w:t>SNF</w:t>
            </w:r>
          </w:p>
        </w:tc>
        <w:tc>
          <w:tcPr>
            <w:tcW w:w="2500" w:type="pct"/>
          </w:tcPr>
          <w:p w14:paraId="7B37743F" w14:textId="4DFA669E" w:rsidR="00091E95" w:rsidRPr="003668C9" w:rsidRDefault="00091E95" w:rsidP="00FD2B58">
            <w:pPr>
              <w:contextualSpacing/>
              <w:rPr>
                <w:rFonts w:ascii="Open Sans" w:hAnsi="Open Sans" w:cs="Open Sans"/>
                <w:sz w:val="24"/>
                <w:szCs w:val="24"/>
              </w:rPr>
            </w:pPr>
            <w:r w:rsidRPr="003668C9">
              <w:rPr>
                <w:rFonts w:ascii="Open Sans" w:hAnsi="Open Sans" w:cs="Open Sans"/>
                <w:sz w:val="24"/>
                <w:szCs w:val="24"/>
              </w:rPr>
              <w:t>3</w:t>
            </w:r>
          </w:p>
        </w:tc>
      </w:tr>
      <w:tr w:rsidR="00091E95" w:rsidRPr="003668C9" w14:paraId="3AEDF4E8" w14:textId="77777777" w:rsidTr="00FD2B58">
        <w:trPr>
          <w:jc w:val="center"/>
        </w:trPr>
        <w:tc>
          <w:tcPr>
            <w:tcW w:w="2500" w:type="pct"/>
          </w:tcPr>
          <w:p w14:paraId="0347F861" w14:textId="77777777" w:rsidR="00091E95" w:rsidRPr="003668C9" w:rsidRDefault="00091E95" w:rsidP="00FD2B58">
            <w:pPr>
              <w:contextualSpacing/>
              <w:rPr>
                <w:rFonts w:ascii="Open Sans" w:hAnsi="Open Sans" w:cs="Open Sans"/>
                <w:sz w:val="24"/>
                <w:szCs w:val="24"/>
              </w:rPr>
            </w:pPr>
            <w:r w:rsidRPr="003668C9">
              <w:rPr>
                <w:rFonts w:ascii="Open Sans" w:hAnsi="Open Sans" w:cs="Open Sans"/>
                <w:sz w:val="24"/>
                <w:szCs w:val="24"/>
              </w:rPr>
              <w:t>Home Health</w:t>
            </w:r>
          </w:p>
        </w:tc>
        <w:tc>
          <w:tcPr>
            <w:tcW w:w="2500" w:type="pct"/>
          </w:tcPr>
          <w:p w14:paraId="7B1049D9" w14:textId="77777777" w:rsidR="00091E95" w:rsidRPr="003668C9" w:rsidRDefault="00091E95" w:rsidP="00FD2B58">
            <w:pPr>
              <w:contextualSpacing/>
              <w:rPr>
                <w:rFonts w:ascii="Open Sans" w:hAnsi="Open Sans" w:cs="Open Sans"/>
                <w:sz w:val="24"/>
                <w:szCs w:val="24"/>
              </w:rPr>
            </w:pPr>
            <w:r w:rsidRPr="003668C9">
              <w:rPr>
                <w:rFonts w:ascii="Open Sans" w:hAnsi="Open Sans" w:cs="Open Sans"/>
                <w:sz w:val="24"/>
                <w:szCs w:val="24"/>
              </w:rPr>
              <w:t>6</w:t>
            </w:r>
          </w:p>
        </w:tc>
      </w:tr>
      <w:tr w:rsidR="00091E95" w:rsidRPr="003668C9" w14:paraId="42761908" w14:textId="77777777" w:rsidTr="00FD2B58">
        <w:trPr>
          <w:jc w:val="center"/>
        </w:trPr>
        <w:tc>
          <w:tcPr>
            <w:tcW w:w="2500" w:type="pct"/>
          </w:tcPr>
          <w:p w14:paraId="55D9486A" w14:textId="77777777" w:rsidR="00091E95" w:rsidRPr="003668C9" w:rsidRDefault="00091E95" w:rsidP="00FD2B58">
            <w:pPr>
              <w:contextualSpacing/>
              <w:rPr>
                <w:rFonts w:ascii="Open Sans" w:hAnsi="Open Sans" w:cs="Open Sans"/>
                <w:sz w:val="24"/>
                <w:szCs w:val="24"/>
              </w:rPr>
            </w:pPr>
            <w:r w:rsidRPr="003668C9">
              <w:rPr>
                <w:rFonts w:ascii="Open Sans" w:hAnsi="Open Sans" w:cs="Open Sans"/>
                <w:sz w:val="24"/>
                <w:szCs w:val="24"/>
              </w:rPr>
              <w:t>Home</w:t>
            </w:r>
          </w:p>
        </w:tc>
        <w:tc>
          <w:tcPr>
            <w:tcW w:w="2500" w:type="pct"/>
          </w:tcPr>
          <w:p w14:paraId="0BBBE613" w14:textId="77777777" w:rsidR="00091E95" w:rsidRPr="003668C9" w:rsidRDefault="00091E95" w:rsidP="00FD2B58">
            <w:pPr>
              <w:contextualSpacing/>
              <w:rPr>
                <w:rFonts w:ascii="Open Sans" w:hAnsi="Open Sans" w:cs="Open Sans"/>
                <w:sz w:val="24"/>
                <w:szCs w:val="24"/>
              </w:rPr>
            </w:pPr>
            <w:r w:rsidRPr="003668C9">
              <w:rPr>
                <w:rFonts w:ascii="Open Sans" w:hAnsi="Open Sans" w:cs="Open Sans"/>
                <w:sz w:val="24"/>
                <w:szCs w:val="24"/>
              </w:rPr>
              <w:t>1</w:t>
            </w:r>
          </w:p>
        </w:tc>
      </w:tr>
    </w:tbl>
    <w:p w14:paraId="2BAC5407" w14:textId="77777777" w:rsidR="00BE1690" w:rsidRPr="003668C9" w:rsidRDefault="00BE1690" w:rsidP="00FD2B58">
      <w:pPr>
        <w:spacing w:after="0" w:line="240" w:lineRule="auto"/>
        <w:rPr>
          <w:rFonts w:ascii="Open Sans" w:hAnsi="Open Sans" w:cs="Open Sans"/>
          <w:sz w:val="24"/>
          <w:szCs w:val="24"/>
        </w:rPr>
      </w:pPr>
    </w:p>
    <w:p w14:paraId="18105B59" w14:textId="45DC3364" w:rsidR="00091E95" w:rsidRPr="003668C9" w:rsidRDefault="00812AA0" w:rsidP="00F11028">
      <w:pPr>
        <w:pStyle w:val="ListParagraph"/>
        <w:numPr>
          <w:ilvl w:val="0"/>
          <w:numId w:val="21"/>
        </w:numPr>
        <w:spacing w:after="0" w:line="240" w:lineRule="auto"/>
        <w:rPr>
          <w:rFonts w:ascii="Open Sans" w:hAnsi="Open Sans" w:cs="Open Sans"/>
          <w:sz w:val="24"/>
          <w:szCs w:val="24"/>
        </w:rPr>
      </w:pPr>
      <w:r w:rsidRPr="003668C9">
        <w:rPr>
          <w:rFonts w:ascii="Open Sans" w:hAnsi="Open Sans" w:cs="Open Sans"/>
          <w:sz w:val="24"/>
          <w:szCs w:val="24"/>
        </w:rPr>
        <w:t>Numerator</w:t>
      </w:r>
    </w:p>
    <w:p w14:paraId="468D24B9" w14:textId="1A3FAA5F" w:rsidR="00091E95" w:rsidRPr="003668C9" w:rsidRDefault="00F45235" w:rsidP="00F11028">
      <w:pPr>
        <w:pStyle w:val="ListParagraph"/>
        <w:numPr>
          <w:ilvl w:val="1"/>
          <w:numId w:val="21"/>
        </w:numPr>
        <w:spacing w:after="0" w:line="240" w:lineRule="auto"/>
        <w:rPr>
          <w:rFonts w:ascii="Open Sans" w:hAnsi="Open Sans" w:cs="Open Sans"/>
          <w:sz w:val="24"/>
          <w:szCs w:val="24"/>
        </w:rPr>
      </w:pPr>
      <w:r w:rsidRPr="003668C9">
        <w:rPr>
          <w:rFonts w:ascii="Open Sans" w:hAnsi="Open Sans" w:cs="Open Sans"/>
          <w:sz w:val="24"/>
          <w:szCs w:val="24"/>
        </w:rPr>
        <w:t xml:space="preserve">Number </w:t>
      </w:r>
      <w:r w:rsidR="00812AA0" w:rsidRPr="003668C9">
        <w:rPr>
          <w:rFonts w:ascii="Open Sans" w:hAnsi="Open Sans" w:cs="Open Sans"/>
          <w:sz w:val="24"/>
          <w:szCs w:val="24"/>
        </w:rPr>
        <w:t xml:space="preserve">of patients discharged to a </w:t>
      </w:r>
      <w:r w:rsidR="00091E95" w:rsidRPr="003668C9">
        <w:rPr>
          <w:rFonts w:ascii="Open Sans" w:hAnsi="Open Sans" w:cs="Open Sans"/>
          <w:sz w:val="24"/>
          <w:szCs w:val="24"/>
        </w:rPr>
        <w:t>given location</w:t>
      </w:r>
      <w:r w:rsidR="00812AA0" w:rsidRPr="003668C9">
        <w:rPr>
          <w:rFonts w:ascii="Open Sans" w:hAnsi="Open Sans" w:cs="Open Sans"/>
          <w:sz w:val="24"/>
          <w:szCs w:val="24"/>
        </w:rPr>
        <w:t xml:space="preserve"> after a</w:t>
      </w:r>
      <w:r w:rsidR="00091E95" w:rsidRPr="003668C9">
        <w:rPr>
          <w:rFonts w:ascii="Open Sans" w:hAnsi="Open Sans" w:cs="Open Sans"/>
          <w:sz w:val="24"/>
          <w:szCs w:val="24"/>
        </w:rPr>
        <w:t>n index stay at a given facility</w:t>
      </w:r>
      <w:r w:rsidRPr="003668C9">
        <w:rPr>
          <w:rFonts w:ascii="Open Sans" w:hAnsi="Open Sans" w:cs="Open Sans"/>
          <w:sz w:val="24"/>
          <w:szCs w:val="24"/>
        </w:rPr>
        <w:t>, as assessed per discharge disposition on the index claim</w:t>
      </w:r>
      <w:r w:rsidR="001435D7" w:rsidRPr="003668C9">
        <w:rPr>
          <w:rFonts w:ascii="Open Sans" w:hAnsi="Open Sans" w:cs="Open Sans"/>
          <w:sz w:val="24"/>
          <w:szCs w:val="24"/>
        </w:rPr>
        <w:t>.</w:t>
      </w:r>
    </w:p>
    <w:p w14:paraId="2FC69A4F" w14:textId="77777777" w:rsidR="00091E95" w:rsidRPr="003668C9" w:rsidRDefault="005F2332" w:rsidP="00F11028">
      <w:pPr>
        <w:pStyle w:val="ListParagraph"/>
        <w:numPr>
          <w:ilvl w:val="0"/>
          <w:numId w:val="21"/>
        </w:numPr>
        <w:spacing w:after="0" w:line="240" w:lineRule="auto"/>
        <w:rPr>
          <w:rFonts w:ascii="Open Sans" w:hAnsi="Open Sans" w:cs="Open Sans"/>
          <w:sz w:val="24"/>
          <w:szCs w:val="24"/>
        </w:rPr>
      </w:pPr>
      <w:r w:rsidRPr="003668C9">
        <w:rPr>
          <w:rFonts w:ascii="Open Sans" w:hAnsi="Open Sans" w:cs="Open Sans"/>
          <w:sz w:val="24"/>
          <w:szCs w:val="24"/>
        </w:rPr>
        <w:t>Denominator</w:t>
      </w:r>
    </w:p>
    <w:p w14:paraId="711A9F04" w14:textId="1777B25D" w:rsidR="001D78F6" w:rsidRPr="003668C9" w:rsidRDefault="00091E95" w:rsidP="00F11028">
      <w:pPr>
        <w:pStyle w:val="ListParagraph"/>
        <w:numPr>
          <w:ilvl w:val="1"/>
          <w:numId w:val="21"/>
        </w:numPr>
        <w:spacing w:after="0" w:line="240" w:lineRule="auto"/>
        <w:rPr>
          <w:rFonts w:ascii="Open Sans" w:hAnsi="Open Sans" w:cs="Open Sans"/>
          <w:sz w:val="24"/>
          <w:szCs w:val="24"/>
        </w:rPr>
      </w:pPr>
      <w:r w:rsidRPr="003668C9">
        <w:rPr>
          <w:rFonts w:ascii="Open Sans" w:hAnsi="Open Sans" w:cs="Open Sans"/>
          <w:sz w:val="24"/>
          <w:szCs w:val="24"/>
        </w:rPr>
        <w:t xml:space="preserve">Total </w:t>
      </w:r>
      <w:r w:rsidR="00F45235" w:rsidRPr="003668C9">
        <w:rPr>
          <w:rFonts w:ascii="Open Sans" w:hAnsi="Open Sans" w:cs="Open Sans"/>
          <w:sz w:val="24"/>
          <w:szCs w:val="24"/>
        </w:rPr>
        <w:t xml:space="preserve">number of </w:t>
      </w:r>
      <w:r w:rsidRPr="003668C9">
        <w:rPr>
          <w:rFonts w:ascii="Open Sans" w:hAnsi="Open Sans" w:cs="Open Sans"/>
          <w:sz w:val="24"/>
          <w:szCs w:val="24"/>
        </w:rPr>
        <w:t xml:space="preserve">patients </w:t>
      </w:r>
      <w:r w:rsidR="00F45235" w:rsidRPr="003668C9">
        <w:rPr>
          <w:rFonts w:ascii="Open Sans" w:hAnsi="Open Sans" w:cs="Open Sans"/>
          <w:sz w:val="24"/>
          <w:szCs w:val="24"/>
        </w:rPr>
        <w:t xml:space="preserve">that </w:t>
      </w:r>
      <w:r w:rsidRPr="003668C9">
        <w:rPr>
          <w:rFonts w:ascii="Open Sans" w:hAnsi="Open Sans" w:cs="Open Sans"/>
          <w:sz w:val="24"/>
          <w:szCs w:val="24"/>
        </w:rPr>
        <w:t xml:space="preserve">had an index stay </w:t>
      </w:r>
      <w:r w:rsidR="00F45235" w:rsidRPr="003668C9">
        <w:rPr>
          <w:rFonts w:ascii="Open Sans" w:hAnsi="Open Sans" w:cs="Open Sans"/>
          <w:sz w:val="24"/>
          <w:szCs w:val="24"/>
        </w:rPr>
        <w:t xml:space="preserve">for a given condition </w:t>
      </w:r>
      <w:r w:rsidRPr="003668C9">
        <w:rPr>
          <w:rFonts w:ascii="Open Sans" w:hAnsi="Open Sans" w:cs="Open Sans"/>
          <w:sz w:val="24"/>
          <w:szCs w:val="24"/>
        </w:rPr>
        <w:t>at a given facility</w:t>
      </w:r>
      <w:r w:rsidR="001435D7" w:rsidRPr="003668C9">
        <w:rPr>
          <w:rFonts w:ascii="Open Sans" w:hAnsi="Open Sans" w:cs="Open Sans"/>
          <w:sz w:val="24"/>
          <w:szCs w:val="24"/>
        </w:rPr>
        <w:t>.</w:t>
      </w:r>
      <w:r w:rsidRPr="003668C9">
        <w:rPr>
          <w:rFonts w:ascii="Open Sans" w:hAnsi="Open Sans" w:cs="Open Sans"/>
          <w:sz w:val="24"/>
          <w:szCs w:val="24"/>
        </w:rPr>
        <w:t xml:space="preserve"> </w:t>
      </w:r>
    </w:p>
    <w:p w14:paraId="044C8DAB" w14:textId="536BDBFB" w:rsidR="00B57F1B" w:rsidRPr="003668C9" w:rsidRDefault="00B57F1B" w:rsidP="00FD2B58">
      <w:pPr>
        <w:pStyle w:val="ListParagraph"/>
        <w:spacing w:after="0" w:line="240" w:lineRule="auto"/>
        <w:ind w:left="1080"/>
        <w:rPr>
          <w:rFonts w:ascii="Open Sans" w:hAnsi="Open Sans" w:cs="Open Sans"/>
          <w:sz w:val="24"/>
          <w:szCs w:val="24"/>
        </w:rPr>
      </w:pPr>
    </w:p>
    <w:p w14:paraId="75B9EE39" w14:textId="77777777" w:rsidR="003668C9" w:rsidRDefault="003668C9">
      <w:pPr>
        <w:rPr>
          <w:rFonts w:ascii="Open Sans" w:hAnsi="Open Sans" w:cs="Open Sans"/>
          <w:b/>
          <w:sz w:val="24"/>
          <w:szCs w:val="24"/>
        </w:rPr>
      </w:pPr>
      <w:r>
        <w:rPr>
          <w:rFonts w:ascii="Open Sans" w:hAnsi="Open Sans" w:cs="Open Sans"/>
          <w:b/>
          <w:sz w:val="24"/>
          <w:szCs w:val="24"/>
        </w:rPr>
        <w:br w:type="page"/>
      </w:r>
    </w:p>
    <w:p w14:paraId="32735FE7" w14:textId="67B3BF2C" w:rsidR="00F337E1" w:rsidRPr="003668C9" w:rsidRDefault="00F337E1" w:rsidP="003668C9">
      <w:pPr>
        <w:pStyle w:val="Heading2"/>
        <w:rPr>
          <w:color w:val="auto"/>
        </w:rPr>
      </w:pPr>
      <w:r w:rsidRPr="003668C9">
        <w:rPr>
          <w:color w:val="auto"/>
        </w:rPr>
        <w:lastRenderedPageBreak/>
        <w:t>30-day Post-Discharge Mortality</w:t>
      </w:r>
      <w:r w:rsidR="00466B4D" w:rsidRPr="003668C9">
        <w:rPr>
          <w:color w:val="auto"/>
        </w:rPr>
        <w:t xml:space="preserve"> Rate</w:t>
      </w:r>
      <w:r w:rsidR="00A072C6" w:rsidRPr="003668C9">
        <w:rPr>
          <w:color w:val="auto"/>
        </w:rPr>
        <w:t xml:space="preserve"> (Medicare FFS Only)</w:t>
      </w:r>
    </w:p>
    <w:p w14:paraId="684E5AAA" w14:textId="67CCB6E8" w:rsidR="00F337E1" w:rsidRPr="003668C9" w:rsidRDefault="00F337E1" w:rsidP="00F11028">
      <w:pPr>
        <w:pStyle w:val="ListParagraph"/>
        <w:numPr>
          <w:ilvl w:val="0"/>
          <w:numId w:val="22"/>
        </w:numPr>
        <w:spacing w:after="0" w:line="240" w:lineRule="auto"/>
        <w:rPr>
          <w:rFonts w:ascii="Open Sans" w:hAnsi="Open Sans" w:cs="Open Sans"/>
          <w:b/>
          <w:sz w:val="24"/>
          <w:szCs w:val="24"/>
        </w:rPr>
      </w:pPr>
      <w:r w:rsidRPr="003668C9">
        <w:rPr>
          <w:rFonts w:ascii="Open Sans" w:hAnsi="Open Sans" w:cs="Open Sans"/>
          <w:sz w:val="24"/>
          <w:szCs w:val="24"/>
        </w:rPr>
        <w:t>Numerator</w:t>
      </w:r>
    </w:p>
    <w:p w14:paraId="3391DBBE" w14:textId="7E9C62A3" w:rsidR="00F337E1" w:rsidRPr="003668C9" w:rsidRDefault="00F45235" w:rsidP="00F11028">
      <w:pPr>
        <w:pStyle w:val="ListParagraph"/>
        <w:numPr>
          <w:ilvl w:val="1"/>
          <w:numId w:val="22"/>
        </w:numPr>
        <w:spacing w:after="0" w:line="240" w:lineRule="auto"/>
        <w:rPr>
          <w:rFonts w:ascii="Open Sans" w:hAnsi="Open Sans" w:cs="Open Sans"/>
          <w:b/>
          <w:sz w:val="24"/>
          <w:szCs w:val="24"/>
        </w:rPr>
      </w:pPr>
      <w:r w:rsidRPr="003668C9">
        <w:rPr>
          <w:rFonts w:ascii="Open Sans" w:hAnsi="Open Sans" w:cs="Open Sans"/>
          <w:sz w:val="24"/>
          <w:szCs w:val="24"/>
        </w:rPr>
        <w:t xml:space="preserve">Number </w:t>
      </w:r>
      <w:r w:rsidR="00F337E1" w:rsidRPr="003668C9">
        <w:rPr>
          <w:rFonts w:ascii="Open Sans" w:hAnsi="Open Sans" w:cs="Open Sans"/>
          <w:sz w:val="24"/>
          <w:szCs w:val="24"/>
        </w:rPr>
        <w:t xml:space="preserve">of patients that died within 30 days post-discharge, indicated by </w:t>
      </w:r>
      <w:r w:rsidRPr="003668C9">
        <w:rPr>
          <w:rFonts w:ascii="Open Sans" w:hAnsi="Open Sans" w:cs="Open Sans"/>
          <w:sz w:val="24"/>
          <w:szCs w:val="24"/>
        </w:rPr>
        <w:t xml:space="preserve">patient’s </w:t>
      </w:r>
      <w:r w:rsidR="00F337E1" w:rsidRPr="003668C9">
        <w:rPr>
          <w:rFonts w:ascii="Open Sans" w:hAnsi="Open Sans" w:cs="Open Sans"/>
          <w:sz w:val="24"/>
          <w:szCs w:val="24"/>
        </w:rPr>
        <w:t>death date in the Medicare Master Beneficiary Summary Files (MBSF)</w:t>
      </w:r>
      <w:r w:rsidR="00A072C6" w:rsidRPr="003668C9">
        <w:rPr>
          <w:rFonts w:ascii="Open Sans" w:hAnsi="Open Sans" w:cs="Open Sans"/>
          <w:sz w:val="24"/>
          <w:szCs w:val="24"/>
        </w:rPr>
        <w:t>.</w:t>
      </w:r>
    </w:p>
    <w:p w14:paraId="11A8CE93" w14:textId="469C70CE" w:rsidR="00F337E1" w:rsidRPr="003668C9" w:rsidRDefault="00F337E1" w:rsidP="00F11028">
      <w:pPr>
        <w:pStyle w:val="ListParagraph"/>
        <w:numPr>
          <w:ilvl w:val="0"/>
          <w:numId w:val="22"/>
        </w:numPr>
        <w:spacing w:after="0" w:line="240" w:lineRule="auto"/>
        <w:rPr>
          <w:rFonts w:ascii="Open Sans" w:hAnsi="Open Sans" w:cs="Open Sans"/>
          <w:b/>
          <w:sz w:val="24"/>
          <w:szCs w:val="24"/>
        </w:rPr>
      </w:pPr>
      <w:r w:rsidRPr="003668C9">
        <w:rPr>
          <w:rFonts w:ascii="Open Sans" w:hAnsi="Open Sans" w:cs="Open Sans"/>
          <w:sz w:val="24"/>
          <w:szCs w:val="24"/>
        </w:rPr>
        <w:t>Denominator</w:t>
      </w:r>
    </w:p>
    <w:p w14:paraId="7F3CB27B" w14:textId="4D541994" w:rsidR="00A072C6" w:rsidRPr="003668C9" w:rsidRDefault="00A072C6" w:rsidP="00F11028">
      <w:pPr>
        <w:pStyle w:val="ListParagraph"/>
        <w:numPr>
          <w:ilvl w:val="1"/>
          <w:numId w:val="22"/>
        </w:numPr>
        <w:spacing w:after="0" w:line="240" w:lineRule="auto"/>
        <w:rPr>
          <w:rFonts w:ascii="Open Sans" w:hAnsi="Open Sans" w:cs="Open Sans"/>
          <w:b/>
          <w:sz w:val="24"/>
          <w:szCs w:val="24"/>
        </w:rPr>
      </w:pPr>
      <w:r w:rsidRPr="003668C9">
        <w:rPr>
          <w:rFonts w:ascii="Open Sans" w:hAnsi="Open Sans" w:cs="Open Sans"/>
          <w:sz w:val="24"/>
          <w:szCs w:val="24"/>
        </w:rPr>
        <w:t xml:space="preserve">Total </w:t>
      </w:r>
      <w:r w:rsidR="00F45235" w:rsidRPr="003668C9">
        <w:rPr>
          <w:rFonts w:ascii="Open Sans" w:hAnsi="Open Sans" w:cs="Open Sans"/>
          <w:sz w:val="24"/>
          <w:szCs w:val="24"/>
        </w:rPr>
        <w:t xml:space="preserve">number of </w:t>
      </w:r>
      <w:r w:rsidRPr="003668C9">
        <w:rPr>
          <w:rFonts w:ascii="Open Sans" w:hAnsi="Open Sans" w:cs="Open Sans"/>
          <w:sz w:val="24"/>
          <w:szCs w:val="24"/>
        </w:rPr>
        <w:t>patients that had an index stay for a given condition at a given facility.</w:t>
      </w:r>
    </w:p>
    <w:p w14:paraId="2E660E38" w14:textId="77777777" w:rsidR="00B57F1B" w:rsidRPr="003668C9" w:rsidRDefault="00B57F1B" w:rsidP="00F11028">
      <w:pPr>
        <w:pStyle w:val="ListParagraph"/>
        <w:spacing w:after="0" w:line="240" w:lineRule="auto"/>
        <w:ind w:left="1080"/>
        <w:rPr>
          <w:rFonts w:ascii="Open Sans" w:hAnsi="Open Sans" w:cs="Open Sans"/>
          <w:b/>
          <w:sz w:val="24"/>
          <w:szCs w:val="24"/>
        </w:rPr>
      </w:pPr>
    </w:p>
    <w:p w14:paraId="1F27BAAB" w14:textId="183BF77A" w:rsidR="00B51DAD" w:rsidRPr="003668C9" w:rsidRDefault="00466B4D" w:rsidP="003668C9">
      <w:pPr>
        <w:pStyle w:val="Heading2"/>
        <w:rPr>
          <w:color w:val="auto"/>
        </w:rPr>
      </w:pPr>
      <w:r w:rsidRPr="003668C9">
        <w:rPr>
          <w:color w:val="auto"/>
        </w:rPr>
        <w:t xml:space="preserve">3, 7, 14, or 30-Day </w:t>
      </w:r>
      <w:r w:rsidR="00B51DAD" w:rsidRPr="003668C9">
        <w:rPr>
          <w:color w:val="auto"/>
        </w:rPr>
        <w:t>Outpatient Follow-up</w:t>
      </w:r>
      <w:r w:rsidRPr="003668C9">
        <w:rPr>
          <w:color w:val="auto"/>
        </w:rPr>
        <w:t xml:space="preserve"> Rate</w:t>
      </w:r>
    </w:p>
    <w:p w14:paraId="5230E8F8" w14:textId="77777777" w:rsidR="004D64EE" w:rsidRPr="003668C9" w:rsidRDefault="004D64EE" w:rsidP="00F11028">
      <w:pPr>
        <w:pStyle w:val="ListParagraph"/>
        <w:numPr>
          <w:ilvl w:val="0"/>
          <w:numId w:val="23"/>
        </w:numPr>
        <w:spacing w:after="0" w:line="240" w:lineRule="auto"/>
        <w:rPr>
          <w:rFonts w:ascii="Open Sans" w:hAnsi="Open Sans" w:cs="Open Sans"/>
          <w:sz w:val="24"/>
          <w:szCs w:val="24"/>
        </w:rPr>
      </w:pPr>
      <w:r w:rsidRPr="003668C9">
        <w:rPr>
          <w:rFonts w:ascii="Open Sans" w:hAnsi="Open Sans" w:cs="Open Sans"/>
          <w:sz w:val="24"/>
          <w:szCs w:val="24"/>
        </w:rPr>
        <w:t>Numerator</w:t>
      </w:r>
    </w:p>
    <w:p w14:paraId="428C0B35" w14:textId="2AE9043C" w:rsidR="0014197F" w:rsidRPr="003668C9" w:rsidRDefault="004D64EE" w:rsidP="00F11028">
      <w:pPr>
        <w:pStyle w:val="ListParagraph"/>
        <w:numPr>
          <w:ilvl w:val="1"/>
          <w:numId w:val="23"/>
        </w:numPr>
        <w:spacing w:after="0" w:line="240" w:lineRule="auto"/>
        <w:rPr>
          <w:rFonts w:ascii="Open Sans" w:hAnsi="Open Sans" w:cs="Open Sans"/>
          <w:sz w:val="24"/>
          <w:szCs w:val="24"/>
        </w:rPr>
      </w:pPr>
      <w:r w:rsidRPr="003668C9">
        <w:rPr>
          <w:rFonts w:ascii="Open Sans" w:eastAsia="Times New Roman" w:hAnsi="Open Sans" w:cs="Open Sans"/>
          <w:color w:val="000000"/>
          <w:sz w:val="24"/>
          <w:szCs w:val="24"/>
        </w:rPr>
        <w:t>Patients that had an outpa</w:t>
      </w:r>
      <w:r w:rsidR="00DE5EA6" w:rsidRPr="003668C9">
        <w:rPr>
          <w:rFonts w:ascii="Open Sans" w:eastAsia="Times New Roman" w:hAnsi="Open Sans" w:cs="Open Sans"/>
          <w:color w:val="000000"/>
          <w:sz w:val="24"/>
          <w:szCs w:val="24"/>
        </w:rPr>
        <w:t xml:space="preserve">tient follow-up visit within </w:t>
      </w:r>
      <w:r w:rsidR="00466B4D" w:rsidRPr="003668C9">
        <w:rPr>
          <w:rFonts w:ascii="Open Sans" w:eastAsia="Times New Roman" w:hAnsi="Open Sans" w:cs="Open Sans"/>
          <w:color w:val="000000"/>
          <w:sz w:val="24"/>
          <w:szCs w:val="24"/>
        </w:rPr>
        <w:t xml:space="preserve">3, 7, 14, or 30 </w:t>
      </w:r>
      <w:r w:rsidRPr="003668C9">
        <w:rPr>
          <w:rFonts w:ascii="Open Sans" w:eastAsia="Times New Roman" w:hAnsi="Open Sans" w:cs="Open Sans"/>
          <w:color w:val="000000"/>
          <w:sz w:val="24"/>
          <w:szCs w:val="24"/>
        </w:rPr>
        <w:t>days</w:t>
      </w:r>
      <w:r w:rsidR="00466B4D" w:rsidRPr="003668C9">
        <w:rPr>
          <w:rFonts w:ascii="Open Sans" w:eastAsia="Times New Roman" w:hAnsi="Open Sans" w:cs="Open Sans"/>
          <w:color w:val="000000"/>
          <w:sz w:val="24"/>
          <w:szCs w:val="24"/>
        </w:rPr>
        <w:t xml:space="preserve"> following an index event, </w:t>
      </w:r>
      <w:r w:rsidR="0014197F" w:rsidRPr="003668C9">
        <w:rPr>
          <w:rFonts w:ascii="Open Sans" w:eastAsia="Times New Roman" w:hAnsi="Open Sans" w:cs="Open Sans"/>
          <w:color w:val="000000"/>
          <w:sz w:val="24"/>
          <w:szCs w:val="24"/>
        </w:rPr>
        <w:t>not including the date of index discharge. Follow-up is assessed by</w:t>
      </w:r>
      <w:r w:rsidR="00466B4D" w:rsidRPr="003668C9">
        <w:rPr>
          <w:rFonts w:ascii="Open Sans" w:eastAsia="Times New Roman" w:hAnsi="Open Sans" w:cs="Open Sans"/>
          <w:color w:val="000000"/>
          <w:sz w:val="24"/>
          <w:szCs w:val="24"/>
        </w:rPr>
        <w:t xml:space="preserve"> the presence of a professional claim containing CPT codes </w:t>
      </w:r>
      <w:r w:rsidR="0014197F" w:rsidRPr="003668C9">
        <w:rPr>
          <w:rFonts w:ascii="Open Sans" w:eastAsia="Times New Roman" w:hAnsi="Open Sans" w:cs="Open Sans"/>
          <w:color w:val="000000"/>
          <w:sz w:val="24"/>
          <w:szCs w:val="24"/>
        </w:rPr>
        <w:t>indicating</w:t>
      </w:r>
      <w:r w:rsidR="00466B4D" w:rsidRPr="003668C9">
        <w:rPr>
          <w:rFonts w:ascii="Open Sans" w:eastAsia="Times New Roman" w:hAnsi="Open Sans" w:cs="Open Sans"/>
          <w:color w:val="000000"/>
          <w:sz w:val="24"/>
          <w:szCs w:val="24"/>
        </w:rPr>
        <w:t xml:space="preserve"> receipt of Evaluation and Management services.</w:t>
      </w:r>
      <w:r w:rsidR="0014197F" w:rsidRPr="003668C9">
        <w:rPr>
          <w:rFonts w:ascii="Open Sans" w:eastAsia="Times New Roman" w:hAnsi="Open Sans" w:cs="Open Sans"/>
          <w:color w:val="000000"/>
          <w:sz w:val="24"/>
          <w:szCs w:val="24"/>
        </w:rPr>
        <w:t xml:space="preserve"> Telehealth and remote follow-up are included in this definition.</w:t>
      </w:r>
      <w:r w:rsidRPr="003668C9">
        <w:rPr>
          <w:rFonts w:ascii="Open Sans" w:eastAsia="Times New Roman" w:hAnsi="Open Sans" w:cs="Open Sans"/>
          <w:color w:val="000000"/>
          <w:sz w:val="24"/>
          <w:szCs w:val="24"/>
        </w:rPr>
        <w:t xml:space="preserve"> </w:t>
      </w:r>
    </w:p>
    <w:p w14:paraId="39664A6F" w14:textId="54A33B0E" w:rsidR="004D64EE" w:rsidRPr="003668C9" w:rsidRDefault="00466B4D" w:rsidP="00F11028">
      <w:pPr>
        <w:pStyle w:val="ListParagraph"/>
        <w:numPr>
          <w:ilvl w:val="1"/>
          <w:numId w:val="23"/>
        </w:numPr>
        <w:spacing w:after="0" w:line="240" w:lineRule="auto"/>
        <w:rPr>
          <w:rFonts w:ascii="Open Sans" w:hAnsi="Open Sans" w:cs="Open Sans"/>
          <w:sz w:val="24"/>
          <w:szCs w:val="24"/>
        </w:rPr>
      </w:pPr>
      <w:r w:rsidRPr="003668C9">
        <w:rPr>
          <w:rFonts w:ascii="Open Sans" w:eastAsia="Times New Roman" w:hAnsi="Open Sans" w:cs="Open Sans"/>
          <w:color w:val="000000"/>
          <w:sz w:val="24"/>
          <w:szCs w:val="24"/>
        </w:rPr>
        <w:t xml:space="preserve">A patient is considered to have received outpatient follow-up if this care was received </w:t>
      </w:r>
      <w:r w:rsidR="0014197F" w:rsidRPr="003668C9">
        <w:rPr>
          <w:rFonts w:ascii="Open Sans" w:eastAsia="Times New Roman" w:hAnsi="Open Sans" w:cs="Open Sans"/>
          <w:color w:val="000000"/>
          <w:sz w:val="24"/>
          <w:szCs w:val="24"/>
        </w:rPr>
        <w:t xml:space="preserve">following the index event but </w:t>
      </w:r>
      <w:r w:rsidRPr="003668C9">
        <w:rPr>
          <w:rFonts w:ascii="Open Sans" w:eastAsia="Times New Roman" w:hAnsi="Open Sans" w:cs="Open Sans"/>
          <w:color w:val="000000"/>
          <w:sz w:val="24"/>
          <w:szCs w:val="24"/>
        </w:rPr>
        <w:t>prior to</w:t>
      </w:r>
      <w:r w:rsidR="004D64EE" w:rsidRPr="003668C9">
        <w:rPr>
          <w:rFonts w:ascii="Open Sans" w:eastAsia="Times New Roman" w:hAnsi="Open Sans" w:cs="Open Sans"/>
          <w:color w:val="000000"/>
          <w:sz w:val="24"/>
          <w:szCs w:val="24"/>
        </w:rPr>
        <w:t xml:space="preserve"> a readmission, an inpatient procedure, </w:t>
      </w:r>
      <w:r w:rsidR="0014197F" w:rsidRPr="003668C9">
        <w:rPr>
          <w:rFonts w:ascii="Open Sans" w:eastAsia="Times New Roman" w:hAnsi="Open Sans" w:cs="Open Sans"/>
          <w:color w:val="000000"/>
          <w:sz w:val="24"/>
          <w:szCs w:val="24"/>
        </w:rPr>
        <w:t xml:space="preserve">or an </w:t>
      </w:r>
      <w:r w:rsidR="004D64EE" w:rsidRPr="003668C9">
        <w:rPr>
          <w:rFonts w:ascii="Open Sans" w:eastAsia="Times New Roman" w:hAnsi="Open Sans" w:cs="Open Sans"/>
          <w:color w:val="000000"/>
          <w:sz w:val="24"/>
          <w:szCs w:val="24"/>
        </w:rPr>
        <w:t>emergency department visit</w:t>
      </w:r>
      <w:r w:rsidR="0014197F" w:rsidRPr="003668C9">
        <w:rPr>
          <w:rFonts w:ascii="Open Sans" w:eastAsia="Times New Roman" w:hAnsi="Open Sans" w:cs="Open Sans"/>
          <w:color w:val="000000"/>
          <w:sz w:val="24"/>
          <w:szCs w:val="24"/>
        </w:rPr>
        <w:t>.</w:t>
      </w:r>
    </w:p>
    <w:p w14:paraId="24426416" w14:textId="77777777" w:rsidR="004D64EE" w:rsidRPr="003668C9" w:rsidRDefault="004D64EE" w:rsidP="00F11028">
      <w:pPr>
        <w:pStyle w:val="ListParagraph"/>
        <w:numPr>
          <w:ilvl w:val="0"/>
          <w:numId w:val="23"/>
        </w:numPr>
        <w:spacing w:after="0" w:line="240" w:lineRule="auto"/>
        <w:rPr>
          <w:rFonts w:ascii="Open Sans" w:hAnsi="Open Sans" w:cs="Open Sans"/>
          <w:sz w:val="24"/>
          <w:szCs w:val="24"/>
        </w:rPr>
      </w:pPr>
      <w:r w:rsidRPr="003668C9">
        <w:rPr>
          <w:rFonts w:ascii="Open Sans" w:eastAsia="Times New Roman" w:hAnsi="Open Sans" w:cs="Open Sans"/>
          <w:color w:val="000000"/>
          <w:sz w:val="24"/>
          <w:szCs w:val="24"/>
        </w:rPr>
        <w:t>Denominator</w:t>
      </w:r>
    </w:p>
    <w:p w14:paraId="220658B7" w14:textId="401F9C25" w:rsidR="004D64EE" w:rsidRPr="003668C9" w:rsidRDefault="004D64EE" w:rsidP="00F11028">
      <w:pPr>
        <w:pStyle w:val="ListParagraph"/>
        <w:numPr>
          <w:ilvl w:val="1"/>
          <w:numId w:val="23"/>
        </w:numPr>
        <w:spacing w:after="0" w:line="240" w:lineRule="auto"/>
        <w:rPr>
          <w:rFonts w:ascii="Open Sans" w:hAnsi="Open Sans" w:cs="Open Sans"/>
          <w:sz w:val="24"/>
          <w:szCs w:val="24"/>
        </w:rPr>
      </w:pPr>
      <w:r w:rsidRPr="003668C9">
        <w:rPr>
          <w:rFonts w:ascii="Open Sans" w:hAnsi="Open Sans" w:cs="Open Sans"/>
          <w:sz w:val="24"/>
          <w:szCs w:val="24"/>
        </w:rPr>
        <w:t xml:space="preserve">Total </w:t>
      </w:r>
      <w:r w:rsidR="00F45235" w:rsidRPr="003668C9">
        <w:rPr>
          <w:rFonts w:ascii="Open Sans" w:hAnsi="Open Sans" w:cs="Open Sans"/>
          <w:sz w:val="24"/>
          <w:szCs w:val="24"/>
        </w:rPr>
        <w:t xml:space="preserve">number of </w:t>
      </w:r>
      <w:r w:rsidRPr="003668C9">
        <w:rPr>
          <w:rFonts w:ascii="Open Sans" w:hAnsi="Open Sans" w:cs="Open Sans"/>
          <w:sz w:val="24"/>
          <w:szCs w:val="24"/>
        </w:rPr>
        <w:t>patients that had an index stay for a given condition at a given facility</w:t>
      </w:r>
      <w:r w:rsidR="00466B4D" w:rsidRPr="003668C9">
        <w:rPr>
          <w:rFonts w:ascii="Open Sans" w:hAnsi="Open Sans" w:cs="Open Sans"/>
          <w:sz w:val="24"/>
          <w:szCs w:val="24"/>
        </w:rPr>
        <w:t xml:space="preserve"> who were discharged to home or home health per index discharge disposition and who did not receive SNF or inpatient rehabilitation services within </w:t>
      </w:r>
      <w:r w:rsidR="00FD2B58" w:rsidRPr="003668C9">
        <w:rPr>
          <w:rFonts w:ascii="Open Sans" w:hAnsi="Open Sans" w:cs="Open Sans"/>
          <w:sz w:val="24"/>
          <w:szCs w:val="24"/>
        </w:rPr>
        <w:t xml:space="preserve">the 30 days </w:t>
      </w:r>
      <w:r w:rsidR="00466B4D" w:rsidRPr="003668C9">
        <w:rPr>
          <w:rFonts w:ascii="Open Sans" w:hAnsi="Open Sans" w:cs="Open Sans"/>
          <w:sz w:val="24"/>
          <w:szCs w:val="24"/>
        </w:rPr>
        <w:t>post-index discharge</w:t>
      </w:r>
      <w:r w:rsidR="00CD6B05" w:rsidRPr="003668C9">
        <w:rPr>
          <w:rFonts w:ascii="Open Sans" w:hAnsi="Open Sans" w:cs="Open Sans"/>
          <w:sz w:val="24"/>
          <w:szCs w:val="24"/>
        </w:rPr>
        <w:t>.</w:t>
      </w:r>
    </w:p>
    <w:p w14:paraId="020F664B" w14:textId="59012552" w:rsidR="00BE4C7C" w:rsidRPr="003668C9" w:rsidRDefault="00BE4C7C" w:rsidP="00B57F1B">
      <w:pPr>
        <w:pStyle w:val="ListParagraph"/>
        <w:spacing w:after="0" w:line="240" w:lineRule="auto"/>
        <w:ind w:left="1440"/>
        <w:rPr>
          <w:rFonts w:ascii="Open Sans" w:hAnsi="Open Sans" w:cs="Open Sans"/>
          <w:sz w:val="24"/>
          <w:szCs w:val="24"/>
        </w:rPr>
      </w:pPr>
      <w:r w:rsidRPr="003668C9">
        <w:rPr>
          <w:rFonts w:ascii="Open Sans" w:hAnsi="Open Sans" w:cs="Open Sans"/>
          <w:sz w:val="24"/>
          <w:szCs w:val="24"/>
        </w:rPr>
        <w:tab/>
      </w:r>
    </w:p>
    <w:p w14:paraId="23D40D8F" w14:textId="4F71EF10" w:rsidR="00B51DAD" w:rsidRPr="003668C9" w:rsidRDefault="000E270F" w:rsidP="003668C9">
      <w:pPr>
        <w:pStyle w:val="Heading2"/>
        <w:rPr>
          <w:color w:val="auto"/>
        </w:rPr>
      </w:pPr>
      <w:r w:rsidRPr="003668C9">
        <w:rPr>
          <w:color w:val="auto"/>
        </w:rPr>
        <w:t>Trends in Rates or Payments Over Time</w:t>
      </w:r>
    </w:p>
    <w:p w14:paraId="60ED205D" w14:textId="2C456228" w:rsidR="000E270F" w:rsidRPr="003668C9" w:rsidRDefault="000E270F" w:rsidP="00F11028">
      <w:pPr>
        <w:pStyle w:val="ListParagraph"/>
        <w:numPr>
          <w:ilvl w:val="0"/>
          <w:numId w:val="24"/>
        </w:numPr>
        <w:spacing w:after="0" w:line="240" w:lineRule="auto"/>
        <w:rPr>
          <w:rFonts w:ascii="Open Sans" w:hAnsi="Open Sans" w:cs="Open Sans"/>
          <w:sz w:val="24"/>
          <w:szCs w:val="24"/>
        </w:rPr>
      </w:pPr>
      <w:r w:rsidRPr="003668C9">
        <w:rPr>
          <w:rFonts w:ascii="Open Sans" w:hAnsi="Open Sans" w:cs="Open Sans"/>
          <w:sz w:val="24"/>
          <w:szCs w:val="24"/>
        </w:rPr>
        <w:t>When assessing trends over time, note that episodes are attributed to a year, six-month interval, or quarter according to the date of the index admission/event. Therefore</w:t>
      </w:r>
      <w:r w:rsidR="00A359AC" w:rsidRPr="003668C9">
        <w:rPr>
          <w:rFonts w:ascii="Open Sans" w:hAnsi="Open Sans" w:cs="Open Sans"/>
          <w:sz w:val="24"/>
          <w:szCs w:val="24"/>
        </w:rPr>
        <w:t>,</w:t>
      </w:r>
      <w:r w:rsidRPr="003668C9">
        <w:rPr>
          <w:rFonts w:ascii="Open Sans" w:hAnsi="Open Sans" w:cs="Open Sans"/>
          <w:sz w:val="24"/>
          <w:szCs w:val="24"/>
        </w:rPr>
        <w:t xml:space="preserve"> each data point on a trend graph will reflect data for episodes with index admissions during that time window.</w:t>
      </w:r>
    </w:p>
    <w:p w14:paraId="28A5DAC0" w14:textId="4A114CF7" w:rsidR="00CA466D" w:rsidRPr="003668C9" w:rsidRDefault="00BE1690" w:rsidP="003668C9">
      <w:pPr>
        <w:pStyle w:val="Heading2"/>
        <w:rPr>
          <w:color w:val="auto"/>
        </w:rPr>
      </w:pPr>
      <w:r w:rsidRPr="003668C9">
        <w:rPr>
          <w:color w:val="auto"/>
        </w:rPr>
        <w:lastRenderedPageBreak/>
        <w:t>Appendix A. MVC Claim Categorization Rules</w:t>
      </w:r>
    </w:p>
    <w:tbl>
      <w:tblPr>
        <w:tblpPr w:leftFromText="180" w:rightFromText="180" w:vertAnchor="page" w:horzAnchor="margin" w:tblpY="2491"/>
        <w:tblW w:w="5000" w:type="pct"/>
        <w:tblLook w:val="04A0" w:firstRow="1" w:lastRow="0" w:firstColumn="1" w:lastColumn="0" w:noHBand="0" w:noVBand="1"/>
      </w:tblPr>
      <w:tblGrid>
        <w:gridCol w:w="2203"/>
        <w:gridCol w:w="7147"/>
      </w:tblGrid>
      <w:tr w:rsidR="00BA436D" w:rsidRPr="003668C9" w14:paraId="7EF18746" w14:textId="77777777" w:rsidTr="003668C9">
        <w:trPr>
          <w:cantSplit/>
          <w:trHeight w:val="300"/>
          <w:tblHeader/>
        </w:trPr>
        <w:tc>
          <w:tcPr>
            <w:tcW w:w="1410" w:type="pct"/>
            <w:tcBorders>
              <w:top w:val="single" w:sz="4" w:space="0" w:color="auto"/>
              <w:left w:val="single" w:sz="4" w:space="0" w:color="auto"/>
              <w:bottom w:val="single" w:sz="4" w:space="0" w:color="auto"/>
              <w:right w:val="single" w:sz="4" w:space="0" w:color="auto"/>
            </w:tcBorders>
            <w:shd w:val="clear" w:color="auto" w:fill="004A76" w:themeFill="accent1"/>
            <w:noWrap/>
          </w:tcPr>
          <w:p w14:paraId="6E806CC8" w14:textId="77777777" w:rsidR="00BA436D" w:rsidRPr="003668C9" w:rsidRDefault="00BA436D" w:rsidP="00D804A6">
            <w:pPr>
              <w:spacing w:after="0" w:line="240" w:lineRule="auto"/>
              <w:rPr>
                <w:rFonts w:ascii="Open Sans" w:eastAsia="Times New Roman" w:hAnsi="Open Sans" w:cs="Open Sans"/>
                <w:b/>
                <w:color w:val="FFFFFF" w:themeColor="background1"/>
                <w:sz w:val="24"/>
                <w:szCs w:val="24"/>
              </w:rPr>
            </w:pPr>
            <w:r w:rsidRPr="003668C9">
              <w:rPr>
                <w:rFonts w:ascii="Open Sans" w:eastAsia="Times New Roman" w:hAnsi="Open Sans" w:cs="Open Sans"/>
                <w:b/>
                <w:color w:val="FFFFFF" w:themeColor="background1"/>
                <w:sz w:val="24"/>
                <w:szCs w:val="24"/>
              </w:rPr>
              <w:t>Facility Claim Type</w:t>
            </w:r>
          </w:p>
        </w:tc>
        <w:tc>
          <w:tcPr>
            <w:tcW w:w="3590" w:type="pct"/>
            <w:tcBorders>
              <w:top w:val="single" w:sz="4" w:space="0" w:color="auto"/>
              <w:left w:val="nil"/>
              <w:bottom w:val="single" w:sz="4" w:space="0" w:color="auto"/>
              <w:right w:val="single" w:sz="4" w:space="0" w:color="auto"/>
            </w:tcBorders>
            <w:shd w:val="clear" w:color="auto" w:fill="004A76" w:themeFill="accent1"/>
            <w:noWrap/>
          </w:tcPr>
          <w:p w14:paraId="4FDA2606" w14:textId="3E782D18" w:rsidR="00BA436D" w:rsidRPr="003668C9" w:rsidRDefault="00BA436D" w:rsidP="00D804A6">
            <w:pPr>
              <w:spacing w:after="0" w:line="240" w:lineRule="auto"/>
              <w:rPr>
                <w:rFonts w:ascii="Open Sans" w:eastAsia="Times New Roman" w:hAnsi="Open Sans" w:cs="Open Sans"/>
                <w:b/>
                <w:color w:val="FFFFFF" w:themeColor="background1"/>
                <w:sz w:val="24"/>
                <w:szCs w:val="24"/>
              </w:rPr>
            </w:pPr>
            <w:r w:rsidRPr="003668C9">
              <w:rPr>
                <w:rFonts w:ascii="Open Sans" w:eastAsia="Times New Roman" w:hAnsi="Open Sans" w:cs="Open Sans"/>
                <w:b/>
                <w:color w:val="FFFFFF" w:themeColor="background1"/>
                <w:sz w:val="24"/>
                <w:szCs w:val="24"/>
              </w:rPr>
              <w:t>Definition</w:t>
            </w:r>
          </w:p>
        </w:tc>
      </w:tr>
      <w:tr w:rsidR="008565C7" w:rsidRPr="003668C9" w14:paraId="0A647E81" w14:textId="77777777" w:rsidTr="0039264D">
        <w:trPr>
          <w:trHeight w:val="300"/>
        </w:trPr>
        <w:tc>
          <w:tcPr>
            <w:tcW w:w="1410" w:type="pct"/>
            <w:tcBorders>
              <w:top w:val="nil"/>
              <w:left w:val="single" w:sz="4" w:space="0" w:color="auto"/>
              <w:bottom w:val="single" w:sz="4" w:space="0" w:color="auto"/>
              <w:right w:val="single" w:sz="4" w:space="0" w:color="auto"/>
            </w:tcBorders>
            <w:noWrap/>
          </w:tcPr>
          <w:p w14:paraId="2CB311BC" w14:textId="1BDF3483" w:rsidR="008565C7" w:rsidRPr="003668C9" w:rsidRDefault="008565C7" w:rsidP="0039264D">
            <w:pPr>
              <w:spacing w:after="0" w:line="240" w:lineRule="auto"/>
              <w:rPr>
                <w:rFonts w:ascii="Open Sans" w:eastAsia="Times New Roman" w:hAnsi="Open Sans" w:cs="Open Sans"/>
                <w:color w:val="000000"/>
                <w:sz w:val="24"/>
                <w:szCs w:val="24"/>
              </w:rPr>
            </w:pPr>
            <w:r w:rsidRPr="003668C9">
              <w:rPr>
                <w:rFonts w:ascii="Open Sans" w:eastAsia="Times New Roman" w:hAnsi="Open Sans" w:cs="Open Sans"/>
                <w:color w:val="000000"/>
                <w:sz w:val="24"/>
                <w:szCs w:val="24"/>
              </w:rPr>
              <w:t xml:space="preserve">Inpatient </w:t>
            </w:r>
          </w:p>
        </w:tc>
        <w:tc>
          <w:tcPr>
            <w:tcW w:w="3590" w:type="pct"/>
            <w:tcBorders>
              <w:top w:val="single" w:sz="4" w:space="0" w:color="auto"/>
              <w:left w:val="nil"/>
              <w:bottom w:val="nil"/>
              <w:right w:val="single" w:sz="4" w:space="0" w:color="auto"/>
            </w:tcBorders>
            <w:noWrap/>
          </w:tcPr>
          <w:p w14:paraId="156B473E" w14:textId="77777777" w:rsidR="008565C7" w:rsidRPr="003668C9" w:rsidRDefault="008565C7" w:rsidP="0039264D">
            <w:pPr>
              <w:spacing w:after="0" w:line="240" w:lineRule="auto"/>
              <w:rPr>
                <w:rFonts w:ascii="Open Sans" w:eastAsia="Times New Roman" w:hAnsi="Open Sans" w:cs="Open Sans"/>
                <w:b/>
                <w:bCs/>
                <w:color w:val="000000"/>
                <w:sz w:val="24"/>
                <w:szCs w:val="24"/>
              </w:rPr>
            </w:pPr>
            <w:r w:rsidRPr="003668C9">
              <w:rPr>
                <w:rFonts w:ascii="Open Sans" w:eastAsia="Times New Roman" w:hAnsi="Open Sans" w:cs="Open Sans"/>
                <w:color w:val="000000"/>
                <w:sz w:val="24"/>
                <w:szCs w:val="24"/>
              </w:rPr>
              <w:t xml:space="preserve">(1) Bill Type = 11 (or 12 if DRG present) </w:t>
            </w:r>
            <w:r w:rsidRPr="003668C9">
              <w:rPr>
                <w:rFonts w:ascii="Open Sans" w:eastAsia="Times New Roman" w:hAnsi="Open Sans" w:cs="Open Sans"/>
                <w:b/>
                <w:bCs/>
                <w:color w:val="000000"/>
                <w:sz w:val="24"/>
                <w:szCs w:val="24"/>
              </w:rPr>
              <w:t>and</w:t>
            </w:r>
          </w:p>
          <w:p w14:paraId="4C47DF6D" w14:textId="77777777" w:rsidR="008565C7" w:rsidRPr="003668C9" w:rsidRDefault="008565C7" w:rsidP="0039264D">
            <w:pPr>
              <w:spacing w:after="0" w:line="240" w:lineRule="auto"/>
              <w:rPr>
                <w:rFonts w:ascii="Open Sans" w:eastAsia="Times New Roman" w:hAnsi="Open Sans" w:cs="Open Sans"/>
                <w:b/>
                <w:bCs/>
                <w:color w:val="000000"/>
                <w:sz w:val="24"/>
                <w:szCs w:val="24"/>
              </w:rPr>
            </w:pPr>
            <w:r w:rsidRPr="003668C9">
              <w:rPr>
                <w:rFonts w:ascii="Open Sans" w:eastAsia="Times New Roman" w:hAnsi="Open Sans" w:cs="Open Sans"/>
                <w:color w:val="000000"/>
                <w:sz w:val="24"/>
                <w:szCs w:val="24"/>
              </w:rPr>
              <w:t xml:space="preserve">(2) DRG* is not a rehab code (945, 946, 949, 950) </w:t>
            </w:r>
            <w:r w:rsidRPr="003668C9">
              <w:rPr>
                <w:rFonts w:ascii="Open Sans" w:eastAsia="Times New Roman" w:hAnsi="Open Sans" w:cs="Open Sans"/>
                <w:b/>
                <w:bCs/>
                <w:color w:val="000000"/>
                <w:sz w:val="24"/>
                <w:szCs w:val="24"/>
              </w:rPr>
              <w:t>and</w:t>
            </w:r>
          </w:p>
          <w:p w14:paraId="406F9810" w14:textId="77777777" w:rsidR="008565C7" w:rsidRPr="003668C9" w:rsidRDefault="008565C7" w:rsidP="0039264D">
            <w:pPr>
              <w:spacing w:after="0" w:line="240" w:lineRule="auto"/>
              <w:rPr>
                <w:rFonts w:ascii="Open Sans" w:eastAsia="Times New Roman" w:hAnsi="Open Sans" w:cs="Open Sans"/>
                <w:b/>
                <w:bCs/>
                <w:color w:val="000000"/>
                <w:sz w:val="24"/>
                <w:szCs w:val="24"/>
              </w:rPr>
            </w:pPr>
            <w:r w:rsidRPr="003668C9">
              <w:rPr>
                <w:rFonts w:ascii="Open Sans" w:eastAsia="Times New Roman" w:hAnsi="Open Sans" w:cs="Open Sans"/>
                <w:color w:val="000000"/>
                <w:sz w:val="24"/>
                <w:szCs w:val="24"/>
              </w:rPr>
              <w:t xml:space="preserve">(3) Revenue code is not an IP rehab code (118, 128, 138, 148, 158) </w:t>
            </w:r>
            <w:r w:rsidRPr="003668C9">
              <w:rPr>
                <w:rFonts w:ascii="Open Sans" w:eastAsia="Times New Roman" w:hAnsi="Open Sans" w:cs="Open Sans"/>
                <w:b/>
                <w:bCs/>
                <w:color w:val="000000"/>
                <w:sz w:val="24"/>
                <w:szCs w:val="24"/>
              </w:rPr>
              <w:t>and</w:t>
            </w:r>
          </w:p>
          <w:p w14:paraId="6CBC2F03" w14:textId="6CA5E977" w:rsidR="008565C7" w:rsidRPr="003668C9" w:rsidRDefault="008565C7" w:rsidP="0039264D">
            <w:pPr>
              <w:spacing w:after="0" w:line="240" w:lineRule="auto"/>
              <w:rPr>
                <w:rFonts w:ascii="Open Sans" w:eastAsia="Times New Roman" w:hAnsi="Open Sans" w:cs="Open Sans"/>
                <w:color w:val="000000"/>
                <w:sz w:val="24"/>
                <w:szCs w:val="24"/>
              </w:rPr>
            </w:pPr>
            <w:r w:rsidRPr="003668C9">
              <w:rPr>
                <w:rFonts w:ascii="Open Sans" w:eastAsia="Times New Roman" w:hAnsi="Open Sans" w:cs="Open Sans"/>
                <w:color w:val="000000"/>
                <w:sz w:val="24"/>
                <w:szCs w:val="24"/>
              </w:rPr>
              <w:t>(4) Billing facility does not have LTACH taxonomy code (282E00000X)</w:t>
            </w:r>
          </w:p>
        </w:tc>
      </w:tr>
      <w:tr w:rsidR="0039264D" w:rsidRPr="003668C9" w14:paraId="541B68D5" w14:textId="77777777" w:rsidTr="0039264D">
        <w:trPr>
          <w:trHeight w:val="300"/>
        </w:trPr>
        <w:tc>
          <w:tcPr>
            <w:tcW w:w="1410" w:type="pct"/>
            <w:tcBorders>
              <w:top w:val="nil"/>
              <w:left w:val="single" w:sz="4" w:space="0" w:color="auto"/>
              <w:bottom w:val="single" w:sz="4" w:space="0" w:color="auto"/>
              <w:right w:val="single" w:sz="4" w:space="0" w:color="auto"/>
            </w:tcBorders>
            <w:noWrap/>
            <w:hideMark/>
          </w:tcPr>
          <w:p w14:paraId="5A418C92" w14:textId="77777777" w:rsidR="0039264D" w:rsidRPr="003668C9" w:rsidRDefault="0039264D" w:rsidP="0039264D">
            <w:pPr>
              <w:spacing w:after="0" w:line="240" w:lineRule="auto"/>
              <w:rPr>
                <w:rFonts w:ascii="Open Sans" w:eastAsia="Times New Roman" w:hAnsi="Open Sans" w:cs="Open Sans"/>
                <w:color w:val="000000"/>
                <w:sz w:val="24"/>
                <w:szCs w:val="24"/>
              </w:rPr>
            </w:pPr>
            <w:r w:rsidRPr="003668C9">
              <w:rPr>
                <w:rFonts w:ascii="Open Sans" w:eastAsia="Times New Roman" w:hAnsi="Open Sans" w:cs="Open Sans"/>
                <w:color w:val="000000"/>
                <w:sz w:val="24"/>
                <w:szCs w:val="24"/>
              </w:rPr>
              <w:t>SNF</w:t>
            </w:r>
          </w:p>
        </w:tc>
        <w:tc>
          <w:tcPr>
            <w:tcW w:w="3590" w:type="pct"/>
            <w:tcBorders>
              <w:top w:val="single" w:sz="4" w:space="0" w:color="auto"/>
              <w:left w:val="nil"/>
              <w:bottom w:val="nil"/>
              <w:right w:val="single" w:sz="4" w:space="0" w:color="auto"/>
            </w:tcBorders>
            <w:noWrap/>
            <w:hideMark/>
          </w:tcPr>
          <w:p w14:paraId="1FBA960E" w14:textId="77777777" w:rsidR="0039264D" w:rsidRPr="003668C9" w:rsidRDefault="0039264D" w:rsidP="0039264D">
            <w:pPr>
              <w:spacing w:after="0" w:line="240" w:lineRule="auto"/>
              <w:rPr>
                <w:rFonts w:ascii="Open Sans" w:eastAsia="Times New Roman" w:hAnsi="Open Sans" w:cs="Open Sans"/>
                <w:color w:val="000000"/>
                <w:sz w:val="24"/>
                <w:szCs w:val="24"/>
              </w:rPr>
            </w:pPr>
            <w:r w:rsidRPr="003668C9">
              <w:rPr>
                <w:rFonts w:ascii="Open Sans" w:eastAsia="Times New Roman" w:hAnsi="Open Sans" w:cs="Open Sans"/>
                <w:color w:val="000000"/>
                <w:sz w:val="24"/>
                <w:szCs w:val="24"/>
              </w:rPr>
              <w:t xml:space="preserve">Bill Type in (18, 21) </w:t>
            </w:r>
          </w:p>
        </w:tc>
      </w:tr>
      <w:tr w:rsidR="0039264D" w:rsidRPr="003668C9" w14:paraId="3614C255" w14:textId="77777777" w:rsidTr="0039264D">
        <w:trPr>
          <w:trHeight w:val="621"/>
        </w:trPr>
        <w:tc>
          <w:tcPr>
            <w:tcW w:w="1410" w:type="pct"/>
            <w:tcBorders>
              <w:top w:val="nil"/>
              <w:left w:val="single" w:sz="4" w:space="0" w:color="auto"/>
              <w:bottom w:val="single" w:sz="4" w:space="0" w:color="auto"/>
              <w:right w:val="single" w:sz="4" w:space="0" w:color="auto"/>
            </w:tcBorders>
            <w:noWrap/>
            <w:hideMark/>
          </w:tcPr>
          <w:p w14:paraId="3A9193BD" w14:textId="77777777" w:rsidR="0039264D" w:rsidRPr="003668C9" w:rsidRDefault="0039264D" w:rsidP="0039264D">
            <w:pPr>
              <w:spacing w:after="0" w:line="240" w:lineRule="auto"/>
              <w:rPr>
                <w:rFonts w:ascii="Open Sans" w:eastAsia="Times New Roman" w:hAnsi="Open Sans" w:cs="Open Sans"/>
                <w:color w:val="000000"/>
                <w:sz w:val="24"/>
                <w:szCs w:val="24"/>
              </w:rPr>
            </w:pPr>
            <w:r w:rsidRPr="003668C9">
              <w:rPr>
                <w:rFonts w:ascii="Open Sans" w:eastAsia="Times New Roman" w:hAnsi="Open Sans" w:cs="Open Sans"/>
                <w:color w:val="000000"/>
                <w:sz w:val="24"/>
                <w:szCs w:val="24"/>
              </w:rPr>
              <w:t>Emergency Dept.</w:t>
            </w:r>
          </w:p>
        </w:tc>
        <w:tc>
          <w:tcPr>
            <w:tcW w:w="3590" w:type="pct"/>
            <w:tcBorders>
              <w:top w:val="single" w:sz="4" w:space="0" w:color="auto"/>
              <w:left w:val="nil"/>
              <w:bottom w:val="single" w:sz="4" w:space="0" w:color="auto"/>
              <w:right w:val="single" w:sz="4" w:space="0" w:color="auto"/>
            </w:tcBorders>
            <w:hideMark/>
          </w:tcPr>
          <w:p w14:paraId="7DDD83C3" w14:textId="33A5384B" w:rsidR="0039264D" w:rsidRPr="003668C9" w:rsidRDefault="0039264D" w:rsidP="0039264D">
            <w:pPr>
              <w:spacing w:after="0" w:line="240" w:lineRule="auto"/>
              <w:rPr>
                <w:rFonts w:ascii="Open Sans" w:eastAsia="Times New Roman" w:hAnsi="Open Sans" w:cs="Open Sans"/>
                <w:color w:val="000000"/>
                <w:sz w:val="24"/>
                <w:szCs w:val="24"/>
              </w:rPr>
            </w:pPr>
            <w:r w:rsidRPr="003668C9">
              <w:rPr>
                <w:rFonts w:ascii="Open Sans" w:eastAsia="Open Sans" w:hAnsi="Open Sans" w:cs="Open Sans"/>
                <w:color w:val="000000"/>
                <w:sz w:val="24"/>
                <w:szCs w:val="24"/>
              </w:rPr>
              <w:t xml:space="preserve">(1) Bill Type = 1x </w:t>
            </w:r>
            <w:r w:rsidRPr="003668C9">
              <w:rPr>
                <w:rFonts w:ascii="Open Sans" w:eastAsia="Open Sans" w:hAnsi="Open Sans" w:cs="Open Sans"/>
                <w:b/>
                <w:color w:val="000000"/>
                <w:sz w:val="24"/>
                <w:szCs w:val="24"/>
              </w:rPr>
              <w:t xml:space="preserve">or </w:t>
            </w:r>
            <w:r w:rsidRPr="003668C9">
              <w:rPr>
                <w:rFonts w:ascii="Open Sans" w:eastAsia="Open Sans" w:hAnsi="Open Sans" w:cs="Open Sans"/>
                <w:color w:val="000000"/>
                <w:sz w:val="24"/>
                <w:szCs w:val="24"/>
              </w:rPr>
              <w:t xml:space="preserve">Bill Type = 85 </w:t>
            </w:r>
            <w:r w:rsidRPr="003668C9">
              <w:rPr>
                <w:rFonts w:ascii="Open Sans" w:eastAsia="Open Sans" w:hAnsi="Open Sans" w:cs="Open Sans"/>
                <w:b/>
                <w:color w:val="000000"/>
                <w:sz w:val="24"/>
                <w:szCs w:val="24"/>
              </w:rPr>
              <w:t>and</w:t>
            </w:r>
            <w:r w:rsidRPr="003668C9">
              <w:rPr>
                <w:rFonts w:ascii="Open Sans" w:eastAsia="Open Sans" w:hAnsi="Open Sans" w:cs="Open Sans"/>
                <w:color w:val="000000"/>
                <w:sz w:val="24"/>
                <w:szCs w:val="24"/>
              </w:rPr>
              <w:br/>
              <w:t>(2) Revenue code is an ED code (450, 451, 452, 456, 459)</w:t>
            </w:r>
          </w:p>
        </w:tc>
      </w:tr>
      <w:tr w:rsidR="0039264D" w:rsidRPr="003668C9" w14:paraId="48A18EB5" w14:textId="77777777" w:rsidTr="0039264D">
        <w:trPr>
          <w:trHeight w:val="300"/>
        </w:trPr>
        <w:tc>
          <w:tcPr>
            <w:tcW w:w="1410" w:type="pct"/>
            <w:tcBorders>
              <w:top w:val="nil"/>
              <w:left w:val="single" w:sz="4" w:space="0" w:color="auto"/>
              <w:bottom w:val="single" w:sz="4" w:space="0" w:color="auto"/>
              <w:right w:val="single" w:sz="4" w:space="0" w:color="auto"/>
            </w:tcBorders>
            <w:noWrap/>
            <w:hideMark/>
          </w:tcPr>
          <w:p w14:paraId="556FFF55" w14:textId="77777777" w:rsidR="0039264D" w:rsidRPr="003668C9" w:rsidRDefault="0039264D" w:rsidP="0039264D">
            <w:pPr>
              <w:spacing w:after="0" w:line="240" w:lineRule="auto"/>
              <w:rPr>
                <w:rFonts w:ascii="Open Sans" w:eastAsia="Times New Roman" w:hAnsi="Open Sans" w:cs="Open Sans"/>
                <w:color w:val="000000"/>
                <w:sz w:val="24"/>
                <w:szCs w:val="24"/>
              </w:rPr>
            </w:pPr>
            <w:r w:rsidRPr="003668C9">
              <w:rPr>
                <w:rFonts w:ascii="Open Sans" w:eastAsia="Times New Roman" w:hAnsi="Open Sans" w:cs="Open Sans"/>
                <w:color w:val="000000"/>
                <w:sz w:val="24"/>
                <w:szCs w:val="24"/>
              </w:rPr>
              <w:t>Home Health</w:t>
            </w:r>
          </w:p>
        </w:tc>
        <w:tc>
          <w:tcPr>
            <w:tcW w:w="3590" w:type="pct"/>
            <w:tcBorders>
              <w:top w:val="nil"/>
              <w:left w:val="nil"/>
              <w:bottom w:val="single" w:sz="4" w:space="0" w:color="auto"/>
              <w:right w:val="single" w:sz="4" w:space="0" w:color="auto"/>
            </w:tcBorders>
            <w:noWrap/>
            <w:hideMark/>
          </w:tcPr>
          <w:p w14:paraId="44A35285" w14:textId="77777777" w:rsidR="0039264D" w:rsidRPr="003668C9" w:rsidRDefault="0039264D" w:rsidP="0039264D">
            <w:pPr>
              <w:spacing w:after="0" w:line="240" w:lineRule="auto"/>
              <w:rPr>
                <w:rFonts w:ascii="Open Sans" w:eastAsia="Times New Roman" w:hAnsi="Open Sans" w:cs="Open Sans"/>
                <w:color w:val="000000"/>
                <w:sz w:val="24"/>
                <w:szCs w:val="24"/>
              </w:rPr>
            </w:pPr>
            <w:r w:rsidRPr="003668C9">
              <w:rPr>
                <w:rFonts w:ascii="Open Sans" w:eastAsia="Times New Roman" w:hAnsi="Open Sans" w:cs="Open Sans"/>
                <w:color w:val="000000"/>
                <w:sz w:val="24"/>
                <w:szCs w:val="24"/>
              </w:rPr>
              <w:t xml:space="preserve">Bill Type in (31, 32, 33, 34) </w:t>
            </w:r>
          </w:p>
        </w:tc>
      </w:tr>
      <w:tr w:rsidR="0039264D" w:rsidRPr="003668C9" w14:paraId="3AC5ED21" w14:textId="77777777" w:rsidTr="0039264D">
        <w:trPr>
          <w:trHeight w:val="657"/>
        </w:trPr>
        <w:tc>
          <w:tcPr>
            <w:tcW w:w="1410" w:type="pct"/>
            <w:tcBorders>
              <w:top w:val="nil"/>
              <w:left w:val="single" w:sz="4" w:space="0" w:color="auto"/>
              <w:bottom w:val="single" w:sz="4" w:space="0" w:color="auto"/>
              <w:right w:val="single" w:sz="4" w:space="0" w:color="auto"/>
            </w:tcBorders>
            <w:noWrap/>
            <w:hideMark/>
          </w:tcPr>
          <w:p w14:paraId="78ECA026" w14:textId="77777777" w:rsidR="0039264D" w:rsidRPr="003668C9" w:rsidRDefault="0039264D" w:rsidP="0039264D">
            <w:pPr>
              <w:spacing w:after="0" w:line="240" w:lineRule="auto"/>
              <w:rPr>
                <w:rFonts w:ascii="Open Sans" w:eastAsia="Times New Roman" w:hAnsi="Open Sans" w:cs="Open Sans"/>
                <w:color w:val="000000"/>
                <w:sz w:val="24"/>
                <w:szCs w:val="24"/>
              </w:rPr>
            </w:pPr>
            <w:r w:rsidRPr="003668C9">
              <w:rPr>
                <w:rFonts w:ascii="Open Sans" w:eastAsia="Times New Roman" w:hAnsi="Open Sans" w:cs="Open Sans"/>
                <w:color w:val="000000"/>
                <w:sz w:val="24"/>
                <w:szCs w:val="24"/>
              </w:rPr>
              <w:t>Inpatient Rehab</w:t>
            </w:r>
          </w:p>
        </w:tc>
        <w:tc>
          <w:tcPr>
            <w:tcW w:w="3590" w:type="pct"/>
            <w:tcBorders>
              <w:top w:val="nil"/>
              <w:left w:val="nil"/>
              <w:bottom w:val="single" w:sz="4" w:space="0" w:color="auto"/>
              <w:right w:val="single" w:sz="4" w:space="0" w:color="auto"/>
            </w:tcBorders>
            <w:hideMark/>
          </w:tcPr>
          <w:p w14:paraId="28C8CF50" w14:textId="2E847C70" w:rsidR="0039264D" w:rsidRPr="003668C9" w:rsidRDefault="0039264D" w:rsidP="0039264D">
            <w:pPr>
              <w:spacing w:after="0" w:line="240" w:lineRule="auto"/>
              <w:rPr>
                <w:rFonts w:ascii="Open Sans" w:eastAsia="Times New Roman" w:hAnsi="Open Sans" w:cs="Open Sans"/>
                <w:color w:val="000000"/>
                <w:sz w:val="24"/>
                <w:szCs w:val="24"/>
              </w:rPr>
            </w:pPr>
            <w:r w:rsidRPr="003668C9">
              <w:rPr>
                <w:rFonts w:ascii="Open Sans" w:eastAsia="Open Sans" w:hAnsi="Open Sans" w:cs="Open Sans"/>
                <w:color w:val="000000"/>
                <w:sz w:val="24"/>
                <w:szCs w:val="24"/>
              </w:rPr>
              <w:t xml:space="preserve">(1) Bill Type = 11 </w:t>
            </w:r>
            <w:r w:rsidRPr="003668C9">
              <w:rPr>
                <w:rFonts w:ascii="Open Sans" w:eastAsia="Open Sans" w:hAnsi="Open Sans" w:cs="Open Sans"/>
                <w:b/>
                <w:color w:val="000000"/>
                <w:sz w:val="24"/>
                <w:szCs w:val="24"/>
              </w:rPr>
              <w:t>and</w:t>
            </w:r>
            <w:r w:rsidRPr="003668C9">
              <w:rPr>
                <w:rFonts w:ascii="Open Sans" w:eastAsia="Open Sans" w:hAnsi="Open Sans" w:cs="Open Sans"/>
                <w:color w:val="000000"/>
                <w:sz w:val="24"/>
                <w:szCs w:val="24"/>
              </w:rPr>
              <w:br/>
              <w:t xml:space="preserve">(2) DRG* is a rehab DRG (945, 946, 949, 950) </w:t>
            </w:r>
            <w:r w:rsidRPr="003668C9">
              <w:rPr>
                <w:rFonts w:ascii="Open Sans" w:eastAsia="Open Sans" w:hAnsi="Open Sans" w:cs="Open Sans"/>
                <w:b/>
                <w:color w:val="000000"/>
                <w:sz w:val="24"/>
                <w:szCs w:val="24"/>
              </w:rPr>
              <w:t xml:space="preserve">or </w:t>
            </w:r>
            <w:r w:rsidRPr="003668C9">
              <w:rPr>
                <w:rFonts w:ascii="Open Sans" w:eastAsia="Open Sans" w:hAnsi="Open Sans" w:cs="Open Sans"/>
                <w:color w:val="000000"/>
                <w:sz w:val="24"/>
                <w:szCs w:val="24"/>
              </w:rPr>
              <w:t>revenue code is an IP rehab code (118, 128, 138, 148, 158)</w:t>
            </w:r>
          </w:p>
        </w:tc>
      </w:tr>
      <w:tr w:rsidR="0039264D" w:rsidRPr="003668C9" w14:paraId="3EB49740" w14:textId="77777777" w:rsidTr="0039264D">
        <w:trPr>
          <w:trHeight w:val="900"/>
        </w:trPr>
        <w:tc>
          <w:tcPr>
            <w:tcW w:w="1410" w:type="pct"/>
            <w:tcBorders>
              <w:top w:val="nil"/>
              <w:left w:val="single" w:sz="4" w:space="0" w:color="auto"/>
              <w:bottom w:val="single" w:sz="4" w:space="0" w:color="auto"/>
              <w:right w:val="single" w:sz="4" w:space="0" w:color="auto"/>
            </w:tcBorders>
            <w:noWrap/>
            <w:hideMark/>
          </w:tcPr>
          <w:p w14:paraId="5626E640" w14:textId="77777777" w:rsidR="0039264D" w:rsidRPr="003668C9" w:rsidRDefault="0039264D" w:rsidP="0039264D">
            <w:pPr>
              <w:spacing w:after="0" w:line="240" w:lineRule="auto"/>
              <w:rPr>
                <w:rFonts w:ascii="Open Sans" w:eastAsia="Times New Roman" w:hAnsi="Open Sans" w:cs="Open Sans"/>
                <w:color w:val="000000"/>
                <w:sz w:val="24"/>
                <w:szCs w:val="24"/>
              </w:rPr>
            </w:pPr>
            <w:r w:rsidRPr="003668C9">
              <w:rPr>
                <w:rFonts w:ascii="Open Sans" w:eastAsia="Times New Roman" w:hAnsi="Open Sans" w:cs="Open Sans"/>
                <w:color w:val="000000"/>
                <w:sz w:val="24"/>
                <w:szCs w:val="24"/>
              </w:rPr>
              <w:t>Outpatient Rehab</w:t>
            </w:r>
          </w:p>
        </w:tc>
        <w:tc>
          <w:tcPr>
            <w:tcW w:w="3590" w:type="pct"/>
            <w:tcBorders>
              <w:top w:val="nil"/>
              <w:left w:val="nil"/>
              <w:bottom w:val="single" w:sz="4" w:space="0" w:color="auto"/>
              <w:right w:val="single" w:sz="4" w:space="0" w:color="auto"/>
            </w:tcBorders>
            <w:hideMark/>
          </w:tcPr>
          <w:p w14:paraId="2D5C083B" w14:textId="152D356E" w:rsidR="0039264D" w:rsidRPr="003668C9" w:rsidRDefault="0039264D" w:rsidP="0039264D">
            <w:pPr>
              <w:spacing w:after="0" w:line="240" w:lineRule="auto"/>
              <w:rPr>
                <w:rFonts w:ascii="Open Sans" w:eastAsia="Times New Roman" w:hAnsi="Open Sans" w:cs="Open Sans"/>
                <w:color w:val="000000"/>
                <w:sz w:val="24"/>
                <w:szCs w:val="24"/>
              </w:rPr>
            </w:pPr>
            <w:r w:rsidRPr="003668C9">
              <w:rPr>
                <w:rFonts w:ascii="Open Sans" w:eastAsia="Open Sans" w:hAnsi="Open Sans" w:cs="Open Sans"/>
                <w:color w:val="000000"/>
                <w:sz w:val="24"/>
                <w:szCs w:val="24"/>
              </w:rPr>
              <w:t xml:space="preserve">(1) Revenue code is an OP rehab code (41X, 42X, 43X, 44X, 940, 941, 943, 944, 945, 948)  </w:t>
            </w:r>
            <w:r w:rsidRPr="003668C9">
              <w:rPr>
                <w:rFonts w:ascii="Open Sans" w:eastAsia="Open Sans" w:hAnsi="Open Sans" w:cs="Open Sans"/>
                <w:b/>
                <w:color w:val="000000"/>
                <w:sz w:val="24"/>
                <w:szCs w:val="24"/>
              </w:rPr>
              <w:t>or</w:t>
            </w:r>
            <w:r w:rsidRPr="003668C9">
              <w:rPr>
                <w:rFonts w:ascii="Open Sans" w:eastAsia="Open Sans" w:hAnsi="Open Sans" w:cs="Open Sans"/>
                <w:color w:val="000000"/>
                <w:sz w:val="24"/>
                <w:szCs w:val="24"/>
              </w:rPr>
              <w:br/>
              <w:t xml:space="preserve">(2) CPT is a rehab CPT </w:t>
            </w:r>
            <w:r w:rsidRPr="003668C9">
              <w:rPr>
                <w:rFonts w:ascii="Open Sans" w:eastAsia="Open Sans" w:hAnsi="Open Sans" w:cs="Open Sans"/>
                <w:b/>
                <w:color w:val="000000"/>
                <w:sz w:val="24"/>
                <w:szCs w:val="24"/>
              </w:rPr>
              <w:t>or</w:t>
            </w:r>
            <w:r w:rsidRPr="003668C9">
              <w:rPr>
                <w:rFonts w:ascii="Open Sans" w:eastAsia="Open Sans" w:hAnsi="Open Sans" w:cs="Open Sans"/>
                <w:color w:val="000000"/>
                <w:sz w:val="24"/>
                <w:szCs w:val="24"/>
              </w:rPr>
              <w:br/>
              <w:t>(3) Bill Type in (74, 75)</w:t>
            </w:r>
          </w:p>
        </w:tc>
      </w:tr>
      <w:tr w:rsidR="0039264D" w:rsidRPr="003668C9" w14:paraId="0A72E9BA" w14:textId="77777777" w:rsidTr="0039264D">
        <w:trPr>
          <w:trHeight w:val="300"/>
        </w:trPr>
        <w:tc>
          <w:tcPr>
            <w:tcW w:w="1410" w:type="pct"/>
            <w:tcBorders>
              <w:top w:val="nil"/>
              <w:left w:val="single" w:sz="4" w:space="0" w:color="auto"/>
              <w:bottom w:val="single" w:sz="4" w:space="0" w:color="auto"/>
              <w:right w:val="single" w:sz="4" w:space="0" w:color="auto"/>
            </w:tcBorders>
            <w:noWrap/>
          </w:tcPr>
          <w:p w14:paraId="0CA644D6" w14:textId="4D83B40A" w:rsidR="0039264D" w:rsidRPr="003668C9" w:rsidRDefault="0039264D" w:rsidP="0039264D">
            <w:pPr>
              <w:spacing w:after="0" w:line="240" w:lineRule="auto"/>
              <w:rPr>
                <w:rFonts w:ascii="Open Sans" w:eastAsia="Times New Roman" w:hAnsi="Open Sans" w:cs="Open Sans"/>
                <w:color w:val="000000"/>
                <w:sz w:val="24"/>
                <w:szCs w:val="24"/>
              </w:rPr>
            </w:pPr>
            <w:r w:rsidRPr="003668C9">
              <w:rPr>
                <w:rFonts w:ascii="Open Sans" w:eastAsia="Times New Roman" w:hAnsi="Open Sans" w:cs="Open Sans"/>
                <w:color w:val="000000"/>
                <w:sz w:val="24"/>
                <w:szCs w:val="24"/>
              </w:rPr>
              <w:t>LTACH</w:t>
            </w:r>
          </w:p>
        </w:tc>
        <w:tc>
          <w:tcPr>
            <w:tcW w:w="3590" w:type="pct"/>
            <w:tcBorders>
              <w:top w:val="nil"/>
              <w:left w:val="nil"/>
              <w:bottom w:val="single" w:sz="4" w:space="0" w:color="auto"/>
              <w:right w:val="single" w:sz="4" w:space="0" w:color="auto"/>
            </w:tcBorders>
            <w:noWrap/>
          </w:tcPr>
          <w:p w14:paraId="2DBA96CC" w14:textId="77777777" w:rsidR="0039264D" w:rsidRPr="003668C9" w:rsidRDefault="0039264D" w:rsidP="0039264D">
            <w:pPr>
              <w:spacing w:after="0" w:line="240" w:lineRule="auto"/>
              <w:rPr>
                <w:rFonts w:ascii="Open Sans" w:eastAsia="Times New Roman" w:hAnsi="Open Sans" w:cs="Open Sans"/>
                <w:b/>
                <w:bCs/>
                <w:color w:val="000000"/>
                <w:sz w:val="24"/>
                <w:szCs w:val="24"/>
              </w:rPr>
            </w:pPr>
            <w:r w:rsidRPr="003668C9">
              <w:rPr>
                <w:rFonts w:ascii="Open Sans" w:eastAsia="Times New Roman" w:hAnsi="Open Sans" w:cs="Open Sans"/>
                <w:color w:val="000000"/>
                <w:sz w:val="24"/>
                <w:szCs w:val="24"/>
              </w:rPr>
              <w:t xml:space="preserve">(1) Bill Type = 11 </w:t>
            </w:r>
            <w:r w:rsidRPr="003668C9">
              <w:rPr>
                <w:rFonts w:ascii="Open Sans" w:eastAsia="Times New Roman" w:hAnsi="Open Sans" w:cs="Open Sans"/>
                <w:b/>
                <w:bCs/>
                <w:color w:val="000000"/>
                <w:sz w:val="24"/>
                <w:szCs w:val="24"/>
              </w:rPr>
              <w:t>and</w:t>
            </w:r>
          </w:p>
          <w:p w14:paraId="61AB79F7" w14:textId="72C02554" w:rsidR="0039264D" w:rsidRPr="003668C9" w:rsidRDefault="0039264D" w:rsidP="0039264D">
            <w:pPr>
              <w:spacing w:after="0" w:line="240" w:lineRule="auto"/>
              <w:rPr>
                <w:rFonts w:ascii="Open Sans" w:eastAsia="Times New Roman" w:hAnsi="Open Sans" w:cs="Open Sans"/>
                <w:color w:val="000000"/>
                <w:sz w:val="24"/>
                <w:szCs w:val="24"/>
              </w:rPr>
            </w:pPr>
            <w:r w:rsidRPr="003668C9">
              <w:rPr>
                <w:rFonts w:ascii="Open Sans" w:eastAsia="Times New Roman" w:hAnsi="Open Sans" w:cs="Open Sans"/>
                <w:color w:val="000000"/>
                <w:sz w:val="24"/>
                <w:szCs w:val="24"/>
              </w:rPr>
              <w:t>(2) Billing facility primary taxonomy code = 282E00000X</w:t>
            </w:r>
          </w:p>
        </w:tc>
      </w:tr>
      <w:tr w:rsidR="0039264D" w:rsidRPr="003668C9" w14:paraId="6B18747E" w14:textId="77777777" w:rsidTr="0039264D">
        <w:trPr>
          <w:trHeight w:val="300"/>
        </w:trPr>
        <w:tc>
          <w:tcPr>
            <w:tcW w:w="1410" w:type="pct"/>
            <w:tcBorders>
              <w:top w:val="nil"/>
              <w:left w:val="single" w:sz="4" w:space="0" w:color="auto"/>
              <w:bottom w:val="single" w:sz="4" w:space="0" w:color="auto"/>
              <w:right w:val="single" w:sz="4" w:space="0" w:color="auto"/>
            </w:tcBorders>
            <w:noWrap/>
            <w:hideMark/>
          </w:tcPr>
          <w:p w14:paraId="311B4798" w14:textId="77777777" w:rsidR="0039264D" w:rsidRPr="003668C9" w:rsidRDefault="0039264D" w:rsidP="0039264D">
            <w:pPr>
              <w:spacing w:after="0" w:line="240" w:lineRule="auto"/>
              <w:rPr>
                <w:rFonts w:ascii="Open Sans" w:eastAsia="Times New Roman" w:hAnsi="Open Sans" w:cs="Open Sans"/>
                <w:color w:val="000000"/>
                <w:sz w:val="24"/>
                <w:szCs w:val="24"/>
              </w:rPr>
            </w:pPr>
            <w:r w:rsidRPr="003668C9">
              <w:rPr>
                <w:rFonts w:ascii="Open Sans" w:eastAsia="Times New Roman" w:hAnsi="Open Sans" w:cs="Open Sans"/>
                <w:color w:val="000000"/>
                <w:sz w:val="24"/>
                <w:szCs w:val="24"/>
              </w:rPr>
              <w:t>Outpatient / Other</w:t>
            </w:r>
          </w:p>
        </w:tc>
        <w:tc>
          <w:tcPr>
            <w:tcW w:w="3590" w:type="pct"/>
            <w:tcBorders>
              <w:top w:val="nil"/>
              <w:left w:val="nil"/>
              <w:bottom w:val="single" w:sz="4" w:space="0" w:color="auto"/>
              <w:right w:val="single" w:sz="4" w:space="0" w:color="auto"/>
            </w:tcBorders>
            <w:noWrap/>
            <w:hideMark/>
          </w:tcPr>
          <w:p w14:paraId="7E9667C9" w14:textId="77777777" w:rsidR="0039264D" w:rsidRPr="003668C9" w:rsidRDefault="0039264D" w:rsidP="0039264D">
            <w:pPr>
              <w:spacing w:after="0" w:line="240" w:lineRule="auto"/>
              <w:rPr>
                <w:rFonts w:ascii="Open Sans" w:eastAsia="Times New Roman" w:hAnsi="Open Sans" w:cs="Open Sans"/>
                <w:color w:val="000000"/>
                <w:sz w:val="24"/>
                <w:szCs w:val="24"/>
              </w:rPr>
            </w:pPr>
            <w:r w:rsidRPr="003668C9">
              <w:rPr>
                <w:rFonts w:ascii="Open Sans" w:eastAsia="Times New Roman" w:hAnsi="Open Sans" w:cs="Open Sans"/>
                <w:color w:val="000000"/>
                <w:sz w:val="24"/>
                <w:szCs w:val="24"/>
              </w:rPr>
              <w:t>Everything else</w:t>
            </w:r>
          </w:p>
        </w:tc>
      </w:tr>
    </w:tbl>
    <w:p w14:paraId="5A5D02D9" w14:textId="2439E3F6" w:rsidR="00E57022" w:rsidRPr="003668C9" w:rsidRDefault="00D31401" w:rsidP="00D804A6">
      <w:pPr>
        <w:rPr>
          <w:rFonts w:ascii="Open Sans" w:hAnsi="Open Sans" w:cs="Open Sans"/>
          <w:i/>
          <w:sz w:val="24"/>
          <w:szCs w:val="24"/>
        </w:rPr>
      </w:pPr>
      <w:r w:rsidRPr="003668C9">
        <w:rPr>
          <w:rFonts w:ascii="Open Sans" w:hAnsi="Open Sans" w:cs="Open Sans"/>
          <w:i/>
          <w:sz w:val="24"/>
          <w:szCs w:val="24"/>
        </w:rPr>
        <w:t>*Regrouped DRG</w:t>
      </w:r>
      <w:r w:rsidR="00E57022" w:rsidRPr="003668C9">
        <w:rPr>
          <w:rFonts w:ascii="Open Sans" w:hAnsi="Open Sans" w:cs="Open Sans"/>
          <w:i/>
          <w:sz w:val="24"/>
          <w:szCs w:val="24"/>
        </w:rPr>
        <w:tab/>
      </w:r>
      <w:r w:rsidR="00E57022" w:rsidRPr="003668C9">
        <w:rPr>
          <w:rFonts w:ascii="Open Sans" w:hAnsi="Open Sans" w:cs="Open Sans"/>
          <w:i/>
          <w:sz w:val="24"/>
          <w:szCs w:val="24"/>
        </w:rPr>
        <w:tab/>
      </w:r>
      <w:r w:rsidR="00E57022" w:rsidRPr="003668C9">
        <w:rPr>
          <w:rFonts w:ascii="Open Sans" w:hAnsi="Open Sans" w:cs="Open Sans"/>
          <w:i/>
          <w:sz w:val="24"/>
          <w:szCs w:val="24"/>
        </w:rPr>
        <w:tab/>
      </w:r>
      <w:r w:rsidR="00E57022" w:rsidRPr="003668C9">
        <w:rPr>
          <w:rFonts w:ascii="Open Sans" w:hAnsi="Open Sans" w:cs="Open Sans"/>
          <w:i/>
          <w:sz w:val="24"/>
          <w:szCs w:val="24"/>
        </w:rPr>
        <w:tab/>
      </w:r>
      <w:r w:rsidR="00E57022" w:rsidRPr="003668C9">
        <w:rPr>
          <w:rFonts w:ascii="Open Sans" w:hAnsi="Open Sans" w:cs="Open Sans"/>
          <w:i/>
          <w:sz w:val="24"/>
          <w:szCs w:val="24"/>
        </w:rPr>
        <w:tab/>
      </w:r>
      <w:r w:rsidR="00E57022" w:rsidRPr="003668C9">
        <w:rPr>
          <w:rFonts w:ascii="Open Sans" w:hAnsi="Open Sans" w:cs="Open Sans"/>
          <w:i/>
          <w:sz w:val="24"/>
          <w:szCs w:val="24"/>
        </w:rPr>
        <w:tab/>
        <w:t xml:space="preserve">                                  </w:t>
      </w:r>
      <w:r w:rsidRPr="003668C9">
        <w:rPr>
          <w:rFonts w:ascii="Open Sans" w:hAnsi="Open Sans" w:cs="Open Sans"/>
          <w:i/>
          <w:sz w:val="24"/>
          <w:szCs w:val="24"/>
        </w:rPr>
        <w:t xml:space="preserve">                               </w:t>
      </w:r>
    </w:p>
    <w:p w14:paraId="0D757484" w14:textId="77777777" w:rsidR="00820808" w:rsidRDefault="00820808" w:rsidP="00D804A6">
      <w:pPr>
        <w:rPr>
          <w:rFonts w:ascii="Open Sans" w:hAnsi="Open Sans" w:cs="Open Sans"/>
          <w:b/>
          <w:sz w:val="20"/>
          <w:szCs w:val="20"/>
        </w:rPr>
      </w:pPr>
    </w:p>
    <w:p w14:paraId="1C0530C4" w14:textId="77777777" w:rsidR="00820808" w:rsidRDefault="00820808" w:rsidP="00D804A6">
      <w:pPr>
        <w:rPr>
          <w:rFonts w:ascii="Open Sans" w:hAnsi="Open Sans" w:cs="Open Sans"/>
          <w:b/>
          <w:sz w:val="20"/>
          <w:szCs w:val="20"/>
        </w:rPr>
      </w:pPr>
    </w:p>
    <w:p w14:paraId="5D2DD86A" w14:textId="77777777" w:rsidR="00820808" w:rsidRDefault="00820808" w:rsidP="00D804A6">
      <w:pPr>
        <w:rPr>
          <w:rFonts w:ascii="Open Sans" w:hAnsi="Open Sans" w:cs="Open Sans"/>
          <w:b/>
          <w:sz w:val="20"/>
          <w:szCs w:val="20"/>
        </w:rPr>
      </w:pPr>
    </w:p>
    <w:p w14:paraId="65756323" w14:textId="77777777" w:rsidR="00820808" w:rsidRDefault="00820808" w:rsidP="00D804A6">
      <w:pPr>
        <w:rPr>
          <w:rFonts w:ascii="Open Sans" w:hAnsi="Open Sans" w:cs="Open Sans"/>
          <w:b/>
          <w:sz w:val="20"/>
          <w:szCs w:val="20"/>
        </w:rPr>
      </w:pPr>
    </w:p>
    <w:p w14:paraId="50C5C969" w14:textId="77777777" w:rsidR="00820808" w:rsidRDefault="00820808" w:rsidP="00D804A6">
      <w:pPr>
        <w:rPr>
          <w:rFonts w:ascii="Open Sans" w:hAnsi="Open Sans" w:cs="Open Sans"/>
          <w:b/>
          <w:sz w:val="20"/>
          <w:szCs w:val="20"/>
        </w:rPr>
      </w:pPr>
    </w:p>
    <w:p w14:paraId="1DFA5DD6" w14:textId="1E39C801" w:rsidR="00820808" w:rsidRDefault="00820808" w:rsidP="00D804A6">
      <w:pPr>
        <w:rPr>
          <w:rFonts w:ascii="Open Sans" w:hAnsi="Open Sans" w:cs="Open Sans"/>
          <w:b/>
          <w:sz w:val="20"/>
          <w:szCs w:val="20"/>
        </w:rPr>
      </w:pPr>
    </w:p>
    <w:p w14:paraId="3D771984" w14:textId="61A80A9F" w:rsidR="00CA466D" w:rsidRPr="00BA436D" w:rsidRDefault="00895F71" w:rsidP="00D804A6">
      <w:pPr>
        <w:rPr>
          <w:rFonts w:ascii="Open Sans" w:hAnsi="Open Sans" w:cs="Open Sans"/>
          <w:b/>
          <w:sz w:val="20"/>
          <w:szCs w:val="20"/>
        </w:rPr>
      </w:pPr>
      <w:r>
        <w:rPr>
          <w:noProof/>
        </w:rPr>
        <mc:AlternateContent>
          <mc:Choice Requires="wps">
            <w:drawing>
              <wp:anchor distT="0" distB="0" distL="114300" distR="114300" simplePos="0" relativeHeight="251661312" behindDoc="0" locked="0" layoutInCell="1" allowOverlap="1" wp14:anchorId="2B2508DD" wp14:editId="10DC6AE7">
                <wp:simplePos x="0" y="0"/>
                <wp:positionH relativeFrom="margin">
                  <wp:posOffset>1965960</wp:posOffset>
                </wp:positionH>
                <wp:positionV relativeFrom="paragraph">
                  <wp:posOffset>587375</wp:posOffset>
                </wp:positionV>
                <wp:extent cx="4203065" cy="754380"/>
                <wp:effectExtent l="0" t="0" r="0" b="7620"/>
                <wp:wrapNone/>
                <wp:docPr id="191866149" name="Text Box 191866149"/>
                <wp:cNvGraphicFramePr/>
                <a:graphic xmlns:a="http://schemas.openxmlformats.org/drawingml/2006/main">
                  <a:graphicData uri="http://schemas.microsoft.com/office/word/2010/wordprocessingShape">
                    <wps:wsp>
                      <wps:cNvSpPr txBox="1"/>
                      <wps:spPr>
                        <a:xfrm>
                          <a:off x="0" y="0"/>
                          <a:ext cx="4203065" cy="754380"/>
                        </a:xfrm>
                        <a:prstGeom prst="rect">
                          <a:avLst/>
                        </a:prstGeom>
                        <a:noFill/>
                        <a:ln w="6350">
                          <a:noFill/>
                        </a:ln>
                      </wps:spPr>
                      <wps:txbx>
                        <w:txbxContent>
                          <w:p w14:paraId="08AD6A9F" w14:textId="77777777" w:rsidR="00895F71" w:rsidRPr="00895F71" w:rsidRDefault="00895F71" w:rsidP="00895F71">
                            <w:pPr>
                              <w:rPr>
                                <w:i/>
                                <w:iCs/>
                                <w:sz w:val="24"/>
                                <w:szCs w:val="24"/>
                              </w:rPr>
                            </w:pPr>
                            <w:r w:rsidRPr="00895F71">
                              <w:rPr>
                                <w:i/>
                                <w:iCs/>
                                <w:sz w:val="24"/>
                                <w:szCs w:val="24"/>
                              </w:rPr>
                              <w:t xml:space="preserve">Support for MVC is provided by Blue Cross Shield of Michigan and Blue Care Network as part of the BCBSM Value Partnerships program.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508DD" id="_x0000_t202" coordsize="21600,21600" o:spt="202" path="m,l,21600r21600,l21600,xe">
                <v:stroke joinstyle="miter"/>
                <v:path gradientshapeok="t" o:connecttype="rect"/>
              </v:shapetype>
              <v:shape id="Text Box 191866149" o:spid="_x0000_s1026" type="#_x0000_t202" style="position:absolute;margin-left:154.8pt;margin-top:46.25pt;width:330.95pt;height:59.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" filled="f" stroked="f" strokeweight=".5pt">
                <v:textbox>
                  <w:txbxContent>
                    <w:p w14:paraId="08AD6A9F" w14:textId="77777777" w:rsidR="00895F71" w:rsidRPr="00895F71" w:rsidRDefault="00895F71" w:rsidP="00895F71">
                      <w:pPr>
                        <w:rPr>
                          <w:i/>
                          <w:iCs/>
                          <w:sz w:val="24"/>
                          <w:szCs w:val="24"/>
                        </w:rPr>
                      </w:pPr>
                      <w:r w:rsidRPr="00895F71">
                        <w:rPr>
                          <w:i/>
                          <w:iCs/>
                          <w:sz w:val="24"/>
                          <w:szCs w:val="24"/>
                        </w:rPr>
                        <w:t xml:space="preserve">Support for MVC is provided by Blue Cross Shield of Michigan and Blue Care Network as part of the BCBSM Value Partnerships program. </w:t>
                      </w:r>
                    </w:p>
                  </w:txbxContent>
                </v:textbox>
                <w10:wrap anchorx="margin"/>
              </v:shape>
            </w:pict>
          </mc:Fallback>
        </mc:AlternateContent>
      </w:r>
      <w:r>
        <w:rPr>
          <w:noProof/>
        </w:rPr>
        <w:drawing>
          <wp:anchor distT="0" distB="0" distL="114300" distR="114300" simplePos="0" relativeHeight="251662336" behindDoc="0" locked="0" layoutInCell="1" allowOverlap="1" wp14:anchorId="0E477084" wp14:editId="1DF69C28">
            <wp:simplePos x="0" y="0"/>
            <wp:positionH relativeFrom="margin">
              <wp:align>left</wp:align>
            </wp:positionH>
            <wp:positionV relativeFrom="bottomMargin">
              <wp:align>top</wp:align>
            </wp:positionV>
            <wp:extent cx="1828800" cy="655320"/>
            <wp:effectExtent l="0" t="0" r="0" b="0"/>
            <wp:wrapSquare wrapText="bothSides"/>
            <wp:docPr id="907012432" name="Picture 1" descr="BCBSN/BC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12432" name="Picture 1" descr="BCBSN/BCN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655320"/>
                    </a:xfrm>
                    <a:prstGeom prst="rect">
                      <a:avLst/>
                    </a:prstGeom>
                  </pic:spPr>
                </pic:pic>
              </a:graphicData>
            </a:graphic>
          </wp:anchor>
        </w:drawing>
      </w:r>
      <w:r w:rsidR="00C46511">
        <w:rPr>
          <w:noProof/>
        </w:rPr>
        <mc:AlternateContent>
          <mc:Choice Requires="wps">
            <w:drawing>
              <wp:anchor distT="0" distB="0" distL="114300" distR="114300" simplePos="0" relativeHeight="251659264" behindDoc="0" locked="0" layoutInCell="1" allowOverlap="1" wp14:anchorId="4C157606" wp14:editId="18ED1A10">
                <wp:simplePos x="0" y="0"/>
                <wp:positionH relativeFrom="margin">
                  <wp:posOffset>1509766</wp:posOffset>
                </wp:positionH>
                <wp:positionV relativeFrom="paragraph">
                  <wp:posOffset>3974262</wp:posOffset>
                </wp:positionV>
                <wp:extent cx="4203510" cy="607060"/>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4203510" cy="607060"/>
                        </a:xfrm>
                        <a:prstGeom prst="rect">
                          <a:avLst/>
                        </a:prstGeom>
                        <a:noFill/>
                        <a:ln w="6350">
                          <a:noFill/>
                        </a:ln>
                      </wps:spPr>
                      <wps:txbx>
                        <w:txbxContent>
                          <w:p w14:paraId="3711B237" w14:textId="5570FE6E" w:rsidR="00321328" w:rsidRPr="003668C9" w:rsidRDefault="00321328">
                            <w:pPr>
                              <w:rPr>
                                <w:i/>
                                <w:iCs/>
                                <w:sz w:val="24"/>
                                <w:szCs w:val="24"/>
                              </w:rPr>
                            </w:pPr>
                            <w:r w:rsidRPr="003668C9">
                              <w:rPr>
                                <w:i/>
                                <w:iCs/>
                                <w:sz w:val="24"/>
                                <w:szCs w:val="24"/>
                              </w:rPr>
                              <w:t xml:space="preserve">Support for MVC is provided by Blue Cross Shield of Michigan and Blue Care Network as part of the BCBSM Value Partnerships program.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157606" id="Text Box 2" o:spid="_x0000_s1027" type="#_x0000_t202" style="position:absolute;margin-left:118.9pt;margin-top:312.95pt;width:331pt;height:47.8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" filled="f" stroked="f" strokeweight=".5pt">
                <v:textbox>
                  <w:txbxContent>
                    <w:p w14:paraId="3711B237" w14:textId="5570FE6E" w:rsidR="00321328" w:rsidRPr="003668C9" w:rsidRDefault="00321328">
                      <w:pPr>
                        <w:rPr>
                          <w:i/>
                          <w:iCs/>
                          <w:sz w:val="24"/>
                          <w:szCs w:val="24"/>
                        </w:rPr>
                      </w:pPr>
                      <w:r w:rsidRPr="003668C9">
                        <w:rPr>
                          <w:i/>
                          <w:iCs/>
                          <w:sz w:val="24"/>
                          <w:szCs w:val="24"/>
                        </w:rPr>
                        <w:t xml:space="preserve">Support for MVC is provided by Blue Cross Shield of Michigan and Blue Care Network as part of the BCBSM Value Partnerships program. </w:t>
                      </w:r>
                    </w:p>
                  </w:txbxContent>
                </v:textbox>
                <w10:wrap anchorx="margin"/>
              </v:shape>
            </w:pict>
          </mc:Fallback>
        </mc:AlternateContent>
      </w:r>
      <w:r w:rsidR="00C46511">
        <w:rPr>
          <w:noProof/>
        </w:rPr>
        <w:drawing>
          <wp:anchor distT="0" distB="0" distL="114300" distR="114300" simplePos="0" relativeHeight="251658240" behindDoc="0" locked="0" layoutInCell="1" allowOverlap="1" wp14:anchorId="42DB95FE" wp14:editId="610101A1">
            <wp:simplePos x="0" y="0"/>
            <wp:positionH relativeFrom="margin">
              <wp:align>left</wp:align>
            </wp:positionH>
            <wp:positionV relativeFrom="paragraph">
              <wp:posOffset>4032957</wp:posOffset>
            </wp:positionV>
            <wp:extent cx="1478280" cy="529590"/>
            <wp:effectExtent l="0" t="0" r="7620" b="3810"/>
            <wp:wrapNone/>
            <wp:docPr id="26" name="Picture 26" descr="BCBS/BCN logo"/>
            <wp:cNvGraphicFramePr/>
            <a:graphic xmlns:a="http://schemas.openxmlformats.org/drawingml/2006/main">
              <a:graphicData uri="http://schemas.openxmlformats.org/drawingml/2006/picture">
                <pic:pic xmlns:pic="http://schemas.openxmlformats.org/drawingml/2006/picture">
                  <pic:nvPicPr>
                    <pic:cNvPr id="26" name="Picture 26" descr="BCBS/BCN logo"/>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478280" cy="52959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A466D" w:rsidRPr="00BA436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20FBF" w14:textId="77777777" w:rsidR="00C97F16" w:rsidRDefault="00C97F16" w:rsidP="003C4849">
      <w:pPr>
        <w:spacing w:after="0" w:line="240" w:lineRule="auto"/>
      </w:pPr>
      <w:r>
        <w:separator/>
      </w:r>
    </w:p>
  </w:endnote>
  <w:endnote w:type="continuationSeparator" w:id="0">
    <w:p w14:paraId="2ABB93B2" w14:textId="77777777" w:rsidR="00C97F16" w:rsidRDefault="00C97F16" w:rsidP="003C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Montserrat SemiBold">
    <w:panose1 w:val="00000700000000000000"/>
    <w:charset w:val="00"/>
    <w:family w:val="auto"/>
    <w:pitch w:val="variable"/>
    <w:sig w:usb0="A00002FF" w:usb1="4000207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009474"/>
      <w:docPartObj>
        <w:docPartGallery w:val="Page Numbers (Bottom of Page)"/>
        <w:docPartUnique/>
      </w:docPartObj>
    </w:sdtPr>
    <w:sdtEndPr>
      <w:rPr>
        <w:noProof/>
        <w:sz w:val="20"/>
        <w:szCs w:val="20"/>
      </w:rPr>
    </w:sdtEndPr>
    <w:sdtContent>
      <w:p w14:paraId="05F6355A" w14:textId="45CEF4D3" w:rsidR="00BE1690" w:rsidRPr="00FD2B58" w:rsidRDefault="00BE1690">
        <w:pPr>
          <w:pStyle w:val="Footer"/>
          <w:jc w:val="right"/>
          <w:rPr>
            <w:sz w:val="20"/>
            <w:szCs w:val="20"/>
          </w:rPr>
        </w:pPr>
        <w:r w:rsidRPr="00FD2B58">
          <w:rPr>
            <w:sz w:val="20"/>
            <w:szCs w:val="20"/>
          </w:rPr>
          <w:fldChar w:fldCharType="begin"/>
        </w:r>
        <w:r w:rsidRPr="00FD2B58">
          <w:rPr>
            <w:sz w:val="20"/>
            <w:szCs w:val="20"/>
          </w:rPr>
          <w:instrText xml:space="preserve"> PAGE   \* MERGEFORMAT </w:instrText>
        </w:r>
        <w:r w:rsidRPr="00FD2B58">
          <w:rPr>
            <w:sz w:val="20"/>
            <w:szCs w:val="20"/>
          </w:rPr>
          <w:fldChar w:fldCharType="separate"/>
        </w:r>
        <w:r w:rsidRPr="00FD2B58">
          <w:rPr>
            <w:noProof/>
            <w:sz w:val="20"/>
            <w:szCs w:val="20"/>
          </w:rPr>
          <w:t>2</w:t>
        </w:r>
        <w:r w:rsidRPr="00FD2B58">
          <w:rPr>
            <w:noProof/>
            <w:sz w:val="20"/>
            <w:szCs w:val="20"/>
          </w:rPr>
          <w:fldChar w:fldCharType="end"/>
        </w:r>
      </w:p>
    </w:sdtContent>
  </w:sdt>
  <w:p w14:paraId="21D50480" w14:textId="77777777" w:rsidR="00BE1690" w:rsidRDefault="00BE1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66572" w14:textId="77777777" w:rsidR="00C97F16" w:rsidRDefault="00C97F16" w:rsidP="003C4849">
      <w:pPr>
        <w:spacing w:after="0" w:line="240" w:lineRule="auto"/>
      </w:pPr>
      <w:r>
        <w:separator/>
      </w:r>
    </w:p>
  </w:footnote>
  <w:footnote w:type="continuationSeparator" w:id="0">
    <w:p w14:paraId="24D5912C" w14:textId="77777777" w:rsidR="00C97F16" w:rsidRDefault="00C97F16" w:rsidP="003C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54BE" w14:textId="29E6ADE0" w:rsidR="003C4849" w:rsidRDefault="00BA436D" w:rsidP="00BA436D">
    <w:pPr>
      <w:pStyle w:val="Header"/>
      <w:rPr>
        <w:sz w:val="24"/>
      </w:rPr>
    </w:pPr>
    <w:r w:rsidRPr="00177BFA">
      <w:rPr>
        <w:sz w:val="24"/>
      </w:rPr>
      <w:tab/>
    </w:r>
    <w:r>
      <w:rPr>
        <w:sz w:val="24"/>
      </w:rPr>
      <w:t xml:space="preserve"> </w:t>
    </w:r>
    <w:r w:rsidR="00321328">
      <w:rPr>
        <w:b/>
        <w:noProof/>
      </w:rPr>
      <w:drawing>
        <wp:inline distT="0" distB="0" distL="0" distR="0" wp14:anchorId="11A93472" wp14:editId="74B6FEA8">
          <wp:extent cx="2190115" cy="647520"/>
          <wp:effectExtent l="0" t="0" r="635" b="0"/>
          <wp:docPr id="25" name="Picture 25" descr="MV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MVC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15222" b="10805"/>
                  <a:stretch/>
                </pic:blipFill>
                <pic:spPr bwMode="auto">
                  <a:xfrm>
                    <a:off x="0" y="0"/>
                    <a:ext cx="2214928" cy="654856"/>
                  </a:xfrm>
                  <a:prstGeom prst="rect">
                    <a:avLst/>
                  </a:prstGeom>
                  <a:noFill/>
                  <a:ln>
                    <a:noFill/>
                  </a:ln>
                  <a:extLst>
                    <a:ext uri="{53640926-AAD7-44D8-BBD7-CCE9431645EC}">
                      <a14:shadowObscured xmlns:a14="http://schemas.microsoft.com/office/drawing/2010/main"/>
                    </a:ext>
                  </a:extLst>
                </pic:spPr>
              </pic:pic>
            </a:graphicData>
          </a:graphic>
        </wp:inline>
      </w:drawing>
    </w:r>
    <w:r>
      <w:rPr>
        <w:sz w:val="24"/>
      </w:rPr>
      <w:t xml:space="preserve">                                      </w:t>
    </w:r>
    <w:r w:rsidRPr="00177BFA">
      <w:rPr>
        <w:sz w:val="24"/>
      </w:rPr>
      <w:t xml:space="preserve">   </w:t>
    </w:r>
  </w:p>
  <w:p w14:paraId="58D5D99C" w14:textId="77777777" w:rsidR="00BA436D" w:rsidRPr="00BA436D" w:rsidRDefault="00BA436D" w:rsidP="00BA436D">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21D7"/>
    <w:multiLevelType w:val="hybridMultilevel"/>
    <w:tmpl w:val="E5766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0BC"/>
    <w:multiLevelType w:val="hybridMultilevel"/>
    <w:tmpl w:val="21AC3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F1E88"/>
    <w:multiLevelType w:val="hybridMultilevel"/>
    <w:tmpl w:val="D70C88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3FF4B32"/>
    <w:multiLevelType w:val="hybridMultilevel"/>
    <w:tmpl w:val="F0905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C32CA"/>
    <w:multiLevelType w:val="hybridMultilevel"/>
    <w:tmpl w:val="3AC86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80CD1"/>
    <w:multiLevelType w:val="hybridMultilevel"/>
    <w:tmpl w:val="A85EB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33153"/>
    <w:multiLevelType w:val="hybridMultilevel"/>
    <w:tmpl w:val="023E7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553CA"/>
    <w:multiLevelType w:val="hybridMultilevel"/>
    <w:tmpl w:val="6B4E2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B0D07"/>
    <w:multiLevelType w:val="hybridMultilevel"/>
    <w:tmpl w:val="F6FE3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C6AF4"/>
    <w:multiLevelType w:val="hybridMultilevel"/>
    <w:tmpl w:val="D6D65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02038D"/>
    <w:multiLevelType w:val="hybridMultilevel"/>
    <w:tmpl w:val="E3D87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35DF8"/>
    <w:multiLevelType w:val="hybridMultilevel"/>
    <w:tmpl w:val="7A1E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C1615F"/>
    <w:multiLevelType w:val="hybridMultilevel"/>
    <w:tmpl w:val="7AEE8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115554"/>
    <w:multiLevelType w:val="hybridMultilevel"/>
    <w:tmpl w:val="BB2E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945203"/>
    <w:multiLevelType w:val="hybridMultilevel"/>
    <w:tmpl w:val="2C3C4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54796"/>
    <w:multiLevelType w:val="hybridMultilevel"/>
    <w:tmpl w:val="60865A1A"/>
    <w:lvl w:ilvl="0" w:tplc="21E6C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EB6AED"/>
    <w:multiLevelType w:val="hybridMultilevel"/>
    <w:tmpl w:val="D3F6301E"/>
    <w:lvl w:ilvl="0" w:tplc="5B02C450">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BB4894"/>
    <w:multiLevelType w:val="hybridMultilevel"/>
    <w:tmpl w:val="C562EB18"/>
    <w:lvl w:ilvl="0" w:tplc="F2729BA6">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C36608"/>
    <w:multiLevelType w:val="hybridMultilevel"/>
    <w:tmpl w:val="3EB8A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50720"/>
    <w:multiLevelType w:val="hybridMultilevel"/>
    <w:tmpl w:val="13A6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272E24"/>
    <w:multiLevelType w:val="hybridMultilevel"/>
    <w:tmpl w:val="A36C0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938BD"/>
    <w:multiLevelType w:val="hybridMultilevel"/>
    <w:tmpl w:val="114E63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201843"/>
    <w:multiLevelType w:val="hybridMultilevel"/>
    <w:tmpl w:val="1C5E9E74"/>
    <w:lvl w:ilvl="0" w:tplc="750CE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81C55"/>
    <w:multiLevelType w:val="hybridMultilevel"/>
    <w:tmpl w:val="6316B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3F29E4"/>
    <w:multiLevelType w:val="hybridMultilevel"/>
    <w:tmpl w:val="A446B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1C2013"/>
    <w:multiLevelType w:val="hybridMultilevel"/>
    <w:tmpl w:val="5D12D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1721894">
    <w:abstractNumId w:val="2"/>
  </w:num>
  <w:num w:numId="2" w16cid:durableId="1383094794">
    <w:abstractNumId w:val="0"/>
  </w:num>
  <w:num w:numId="3" w16cid:durableId="465896584">
    <w:abstractNumId w:val="16"/>
  </w:num>
  <w:num w:numId="4" w16cid:durableId="636835557">
    <w:abstractNumId w:val="17"/>
  </w:num>
  <w:num w:numId="5" w16cid:durableId="845752310">
    <w:abstractNumId w:val="9"/>
  </w:num>
  <w:num w:numId="6" w16cid:durableId="2083680376">
    <w:abstractNumId w:val="25"/>
  </w:num>
  <w:num w:numId="7" w16cid:durableId="930089314">
    <w:abstractNumId w:val="14"/>
  </w:num>
  <w:num w:numId="8" w16cid:durableId="1456829049">
    <w:abstractNumId w:val="4"/>
  </w:num>
  <w:num w:numId="9" w16cid:durableId="1546485106">
    <w:abstractNumId w:val="7"/>
  </w:num>
  <w:num w:numId="10" w16cid:durableId="460733807">
    <w:abstractNumId w:val="18"/>
  </w:num>
  <w:num w:numId="11" w16cid:durableId="183515250">
    <w:abstractNumId w:val="13"/>
  </w:num>
  <w:num w:numId="12" w16cid:durableId="194970530">
    <w:abstractNumId w:val="21"/>
  </w:num>
  <w:num w:numId="13" w16cid:durableId="1597247956">
    <w:abstractNumId w:val="5"/>
  </w:num>
  <w:num w:numId="14" w16cid:durableId="2041011415">
    <w:abstractNumId w:val="24"/>
  </w:num>
  <w:num w:numId="15" w16cid:durableId="1455639417">
    <w:abstractNumId w:val="8"/>
  </w:num>
  <w:num w:numId="16" w16cid:durableId="16124185">
    <w:abstractNumId w:val="11"/>
  </w:num>
  <w:num w:numId="17" w16cid:durableId="302344943">
    <w:abstractNumId w:val="6"/>
  </w:num>
  <w:num w:numId="18" w16cid:durableId="1602226765">
    <w:abstractNumId w:val="20"/>
  </w:num>
  <w:num w:numId="19" w16cid:durableId="338653562">
    <w:abstractNumId w:val="10"/>
  </w:num>
  <w:num w:numId="20" w16cid:durableId="1000083632">
    <w:abstractNumId w:val="19"/>
  </w:num>
  <w:num w:numId="21" w16cid:durableId="1579706111">
    <w:abstractNumId w:val="1"/>
  </w:num>
  <w:num w:numId="22" w16cid:durableId="2052729849">
    <w:abstractNumId w:val="12"/>
  </w:num>
  <w:num w:numId="23" w16cid:durableId="1994865410">
    <w:abstractNumId w:val="23"/>
  </w:num>
  <w:num w:numId="24" w16cid:durableId="1044477136">
    <w:abstractNumId w:val="3"/>
  </w:num>
  <w:num w:numId="25" w16cid:durableId="508250701">
    <w:abstractNumId w:val="22"/>
  </w:num>
  <w:num w:numId="26" w16cid:durableId="1938833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DAD"/>
    <w:rsid w:val="00005444"/>
    <w:rsid w:val="00091E95"/>
    <w:rsid w:val="000D7D44"/>
    <w:rsid w:val="000E270F"/>
    <w:rsid w:val="000F7ECE"/>
    <w:rsid w:val="00112896"/>
    <w:rsid w:val="00135CBD"/>
    <w:rsid w:val="0014197F"/>
    <w:rsid w:val="001435D7"/>
    <w:rsid w:val="00165A35"/>
    <w:rsid w:val="001B2923"/>
    <w:rsid w:val="001D78F6"/>
    <w:rsid w:val="001E3181"/>
    <w:rsid w:val="002E0C2A"/>
    <w:rsid w:val="00321328"/>
    <w:rsid w:val="00357146"/>
    <w:rsid w:val="003668C9"/>
    <w:rsid w:val="00373E72"/>
    <w:rsid w:val="0039264D"/>
    <w:rsid w:val="003B0B3A"/>
    <w:rsid w:val="003C4849"/>
    <w:rsid w:val="003E22E3"/>
    <w:rsid w:val="00466B4D"/>
    <w:rsid w:val="004D64EE"/>
    <w:rsid w:val="004E7BE6"/>
    <w:rsid w:val="00504C33"/>
    <w:rsid w:val="005215A0"/>
    <w:rsid w:val="00523DB5"/>
    <w:rsid w:val="00552794"/>
    <w:rsid w:val="00556337"/>
    <w:rsid w:val="00561A81"/>
    <w:rsid w:val="005B34C7"/>
    <w:rsid w:val="005F2332"/>
    <w:rsid w:val="005F6C39"/>
    <w:rsid w:val="005F7691"/>
    <w:rsid w:val="005F77EC"/>
    <w:rsid w:val="0072009C"/>
    <w:rsid w:val="007F3A6F"/>
    <w:rsid w:val="00812AA0"/>
    <w:rsid w:val="00820808"/>
    <w:rsid w:val="00821E2D"/>
    <w:rsid w:val="0084229C"/>
    <w:rsid w:val="008565C7"/>
    <w:rsid w:val="00866C88"/>
    <w:rsid w:val="00874226"/>
    <w:rsid w:val="008837B6"/>
    <w:rsid w:val="00895F71"/>
    <w:rsid w:val="00942692"/>
    <w:rsid w:val="009552C4"/>
    <w:rsid w:val="009C04D9"/>
    <w:rsid w:val="009C7E98"/>
    <w:rsid w:val="00A072C6"/>
    <w:rsid w:val="00A359AC"/>
    <w:rsid w:val="00A90A5E"/>
    <w:rsid w:val="00A935FF"/>
    <w:rsid w:val="00AE2346"/>
    <w:rsid w:val="00B51DAD"/>
    <w:rsid w:val="00B57F1B"/>
    <w:rsid w:val="00BA436D"/>
    <w:rsid w:val="00BE1690"/>
    <w:rsid w:val="00BE4C7C"/>
    <w:rsid w:val="00BF1719"/>
    <w:rsid w:val="00BF6F67"/>
    <w:rsid w:val="00C02550"/>
    <w:rsid w:val="00C46511"/>
    <w:rsid w:val="00C855D4"/>
    <w:rsid w:val="00C93808"/>
    <w:rsid w:val="00C97F16"/>
    <w:rsid w:val="00CA466D"/>
    <w:rsid w:val="00CB5638"/>
    <w:rsid w:val="00CD6B05"/>
    <w:rsid w:val="00D31401"/>
    <w:rsid w:val="00D804A6"/>
    <w:rsid w:val="00D83630"/>
    <w:rsid w:val="00D93282"/>
    <w:rsid w:val="00DE5EA6"/>
    <w:rsid w:val="00DF6625"/>
    <w:rsid w:val="00E46BFD"/>
    <w:rsid w:val="00E57022"/>
    <w:rsid w:val="00ED3C9E"/>
    <w:rsid w:val="00EF3CEE"/>
    <w:rsid w:val="00F11028"/>
    <w:rsid w:val="00F213B7"/>
    <w:rsid w:val="00F337E1"/>
    <w:rsid w:val="00F42BDF"/>
    <w:rsid w:val="00F45235"/>
    <w:rsid w:val="00FB4903"/>
    <w:rsid w:val="00FD2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245E10"/>
  <w15:chartTrackingRefBased/>
  <w15:docId w15:val="{4A9DB65F-5E39-4AAD-B592-ECBE9B4A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8C9"/>
    <w:pPr>
      <w:keepNext/>
      <w:keepLines/>
      <w:spacing w:before="240" w:after="0"/>
      <w:outlineLvl w:val="0"/>
    </w:pPr>
    <w:rPr>
      <w:rFonts w:asciiTheme="majorHAnsi" w:eastAsiaTheme="majorEastAsia" w:hAnsiTheme="majorHAnsi" w:cstheme="majorBidi"/>
      <w:color w:val="003758" w:themeColor="accent1" w:themeShade="BF"/>
      <w:sz w:val="32"/>
      <w:szCs w:val="32"/>
    </w:rPr>
  </w:style>
  <w:style w:type="paragraph" w:styleId="Heading2">
    <w:name w:val="heading 2"/>
    <w:basedOn w:val="Normal"/>
    <w:next w:val="Normal"/>
    <w:link w:val="Heading2Char"/>
    <w:uiPriority w:val="9"/>
    <w:unhideWhenUsed/>
    <w:qFormat/>
    <w:rsid w:val="003668C9"/>
    <w:pPr>
      <w:keepNext/>
      <w:keepLines/>
      <w:spacing w:before="40" w:after="0"/>
      <w:outlineLvl w:val="1"/>
    </w:pPr>
    <w:rPr>
      <w:rFonts w:asciiTheme="majorHAnsi" w:eastAsiaTheme="majorEastAsia" w:hAnsiTheme="majorHAnsi" w:cstheme="majorBidi"/>
      <w:color w:val="003758"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C88"/>
    <w:pPr>
      <w:ind w:left="720"/>
      <w:contextualSpacing/>
    </w:pPr>
  </w:style>
  <w:style w:type="paragraph" w:styleId="NormalWeb">
    <w:name w:val="Normal (Web)"/>
    <w:basedOn w:val="Normal"/>
    <w:uiPriority w:val="99"/>
    <w:semiHidden/>
    <w:unhideWhenUsed/>
    <w:rsid w:val="00AE234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91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4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849"/>
  </w:style>
  <w:style w:type="paragraph" w:styleId="Footer">
    <w:name w:val="footer"/>
    <w:basedOn w:val="Normal"/>
    <w:link w:val="FooterChar"/>
    <w:uiPriority w:val="99"/>
    <w:unhideWhenUsed/>
    <w:rsid w:val="003C4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849"/>
  </w:style>
  <w:style w:type="character" w:styleId="CommentReference">
    <w:name w:val="annotation reference"/>
    <w:basedOn w:val="DefaultParagraphFont"/>
    <w:uiPriority w:val="99"/>
    <w:semiHidden/>
    <w:unhideWhenUsed/>
    <w:rsid w:val="007F3A6F"/>
    <w:rPr>
      <w:sz w:val="16"/>
      <w:szCs w:val="16"/>
    </w:rPr>
  </w:style>
  <w:style w:type="paragraph" w:styleId="CommentText">
    <w:name w:val="annotation text"/>
    <w:basedOn w:val="Normal"/>
    <w:link w:val="CommentTextChar"/>
    <w:uiPriority w:val="99"/>
    <w:semiHidden/>
    <w:unhideWhenUsed/>
    <w:rsid w:val="007F3A6F"/>
    <w:pPr>
      <w:spacing w:line="240" w:lineRule="auto"/>
    </w:pPr>
    <w:rPr>
      <w:sz w:val="20"/>
      <w:szCs w:val="20"/>
    </w:rPr>
  </w:style>
  <w:style w:type="character" w:customStyle="1" w:styleId="CommentTextChar">
    <w:name w:val="Comment Text Char"/>
    <w:basedOn w:val="DefaultParagraphFont"/>
    <w:link w:val="CommentText"/>
    <w:uiPriority w:val="99"/>
    <w:semiHidden/>
    <w:rsid w:val="007F3A6F"/>
    <w:rPr>
      <w:sz w:val="20"/>
      <w:szCs w:val="20"/>
    </w:rPr>
  </w:style>
  <w:style w:type="paragraph" w:styleId="CommentSubject">
    <w:name w:val="annotation subject"/>
    <w:basedOn w:val="CommentText"/>
    <w:next w:val="CommentText"/>
    <w:link w:val="CommentSubjectChar"/>
    <w:uiPriority w:val="99"/>
    <w:semiHidden/>
    <w:unhideWhenUsed/>
    <w:rsid w:val="007F3A6F"/>
    <w:rPr>
      <w:b/>
      <w:bCs/>
    </w:rPr>
  </w:style>
  <w:style w:type="character" w:customStyle="1" w:styleId="CommentSubjectChar">
    <w:name w:val="Comment Subject Char"/>
    <w:basedOn w:val="CommentTextChar"/>
    <w:link w:val="CommentSubject"/>
    <w:uiPriority w:val="99"/>
    <w:semiHidden/>
    <w:rsid w:val="007F3A6F"/>
    <w:rPr>
      <w:b/>
      <w:bCs/>
      <w:sz w:val="20"/>
      <w:szCs w:val="20"/>
    </w:rPr>
  </w:style>
  <w:style w:type="paragraph" w:styleId="BalloonText">
    <w:name w:val="Balloon Text"/>
    <w:basedOn w:val="Normal"/>
    <w:link w:val="BalloonTextChar"/>
    <w:uiPriority w:val="99"/>
    <w:semiHidden/>
    <w:unhideWhenUsed/>
    <w:rsid w:val="007F3A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A6F"/>
    <w:rPr>
      <w:rFonts w:ascii="Segoe UI" w:hAnsi="Segoe UI" w:cs="Segoe UI"/>
      <w:sz w:val="18"/>
      <w:szCs w:val="18"/>
    </w:rPr>
  </w:style>
  <w:style w:type="character" w:styleId="Hyperlink">
    <w:name w:val="Hyperlink"/>
    <w:basedOn w:val="DefaultParagraphFont"/>
    <w:uiPriority w:val="99"/>
    <w:unhideWhenUsed/>
    <w:rsid w:val="00DF6625"/>
    <w:rPr>
      <w:color w:val="0069A6" w:themeColor="hyperlink"/>
      <w:u w:val="single"/>
    </w:rPr>
  </w:style>
  <w:style w:type="character" w:styleId="FollowedHyperlink">
    <w:name w:val="FollowedHyperlink"/>
    <w:basedOn w:val="DefaultParagraphFont"/>
    <w:uiPriority w:val="99"/>
    <w:semiHidden/>
    <w:unhideWhenUsed/>
    <w:rsid w:val="0072009C"/>
    <w:rPr>
      <w:color w:val="954F72" w:themeColor="followedHyperlink"/>
      <w:u w:val="single"/>
    </w:rPr>
  </w:style>
  <w:style w:type="paragraph" w:styleId="Revision">
    <w:name w:val="Revision"/>
    <w:hidden/>
    <w:uiPriority w:val="99"/>
    <w:semiHidden/>
    <w:rsid w:val="0072009C"/>
    <w:pPr>
      <w:spacing w:after="0" w:line="240" w:lineRule="auto"/>
    </w:pPr>
  </w:style>
  <w:style w:type="paragraph" w:styleId="Title">
    <w:name w:val="Title"/>
    <w:basedOn w:val="Normal"/>
    <w:next w:val="Normal"/>
    <w:link w:val="TitleChar"/>
    <w:uiPriority w:val="10"/>
    <w:qFormat/>
    <w:rsid w:val="003668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8C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668C9"/>
    <w:rPr>
      <w:rFonts w:asciiTheme="majorHAnsi" w:eastAsiaTheme="majorEastAsia" w:hAnsiTheme="majorHAnsi" w:cstheme="majorBidi"/>
      <w:color w:val="003758" w:themeColor="accent1" w:themeShade="BF"/>
      <w:sz w:val="32"/>
      <w:szCs w:val="32"/>
    </w:rPr>
  </w:style>
  <w:style w:type="character" w:customStyle="1" w:styleId="Heading2Char">
    <w:name w:val="Heading 2 Char"/>
    <w:basedOn w:val="DefaultParagraphFont"/>
    <w:link w:val="Heading2"/>
    <w:uiPriority w:val="9"/>
    <w:rsid w:val="003668C9"/>
    <w:rPr>
      <w:rFonts w:asciiTheme="majorHAnsi" w:eastAsiaTheme="majorEastAsia" w:hAnsiTheme="majorHAnsi" w:cstheme="majorBidi"/>
      <w:color w:val="003758"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143326">
      <w:bodyDiv w:val="1"/>
      <w:marLeft w:val="0"/>
      <w:marRight w:val="0"/>
      <w:marTop w:val="0"/>
      <w:marBottom w:val="0"/>
      <w:divBdr>
        <w:top w:val="none" w:sz="0" w:space="0" w:color="auto"/>
        <w:left w:val="none" w:sz="0" w:space="0" w:color="auto"/>
        <w:bottom w:val="none" w:sz="0" w:space="0" w:color="auto"/>
        <w:right w:val="none" w:sz="0" w:space="0" w:color="auto"/>
      </w:divBdr>
    </w:div>
    <w:div w:id="823819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ichiganvalu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VC Style">
  <a:themeElements>
    <a:clrScheme name="Custom 3">
      <a:dk1>
        <a:sysClr val="windowText" lastClr="000000"/>
      </a:dk1>
      <a:lt1>
        <a:sysClr val="window" lastClr="FFFFFF"/>
      </a:lt1>
      <a:dk2>
        <a:srgbClr val="44546A"/>
      </a:dk2>
      <a:lt2>
        <a:srgbClr val="E7E6E6"/>
      </a:lt2>
      <a:accent1>
        <a:srgbClr val="004A76"/>
      </a:accent1>
      <a:accent2>
        <a:srgbClr val="E99938"/>
      </a:accent2>
      <a:accent3>
        <a:srgbClr val="3888E9"/>
      </a:accent3>
      <a:accent4>
        <a:srgbClr val="D5D8DB"/>
      </a:accent4>
      <a:accent5>
        <a:srgbClr val="FFA800"/>
      </a:accent5>
      <a:accent6>
        <a:srgbClr val="5A869D"/>
      </a:accent6>
      <a:hlink>
        <a:srgbClr val="0069A6"/>
      </a:hlink>
      <a:folHlink>
        <a:srgbClr val="954F72"/>
      </a:folHlink>
    </a:clrScheme>
    <a:fontScheme name="MVC Fonts">
      <a:majorFont>
        <a:latin typeface="Montserrat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4F21A-7F7F-4208-9E13-8373B7DB0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Abshire, Chelsea</dc:creator>
  <cp:keywords/>
  <dc:description/>
  <cp:lastModifiedBy>Pollard, Dinah</cp:lastModifiedBy>
  <cp:revision>4</cp:revision>
  <dcterms:created xsi:type="dcterms:W3CDTF">2026-04-16T15:08:00Z</dcterms:created>
  <dcterms:modified xsi:type="dcterms:W3CDTF">2026-04-16T15:15:00Z</dcterms:modified>
</cp:coreProperties>
</file>